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【別紙３】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令和　　年　　月　　日</w:t>
      </w:r>
    </w:p>
    <w:p>
      <w:pPr>
        <w:pStyle w:val="0"/>
        <w:snapToGrid w:val="0"/>
        <w:jc w:val="right"/>
        <w:rPr>
          <w:rFonts w:hint="eastAsia" w:ascii="UD デジタル 教科書体 NP-R" w:hAnsi="UD デジタル 教科書体 NP-R" w:eastAsia="UD デジタル 教科書体 NP-R"/>
          <w:b w:val="1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《なかうみ農村公園に関するサウンディング型市場調査》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b w:val="1"/>
          <w:sz w:val="36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36"/>
        </w:rPr>
        <w:t>申込書兼ヒアリングシート</w:t>
      </w:r>
    </w:p>
    <w:tbl>
      <w:tblPr>
        <w:tblStyle w:val="11"/>
        <w:tblW w:w="90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23"/>
        <w:gridCol w:w="402"/>
        <w:gridCol w:w="874"/>
        <w:gridCol w:w="5244"/>
      </w:tblGrid>
      <w:tr>
        <w:trPr>
          <w:trHeight w:val="589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6543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グループの場合の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氏　名</w:t>
            </w:r>
          </w:p>
        </w:tc>
        <w:tc>
          <w:tcPr>
            <w:tcW w:w="524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法人名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部署名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E-mail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　話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39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２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サウンディングの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実施方法</w:t>
            </w:r>
          </w:p>
        </w:tc>
        <w:tc>
          <w:tcPr>
            <w:tcW w:w="654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．オンライン（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ZOOM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）を希望　　　　２．対面を希望</w:t>
            </w: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３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</w:p>
        </w:tc>
        <w:tc>
          <w:tcPr>
            <w:tcW w:w="8670" w:type="dxa"/>
            <w:gridSpan w:val="5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（調整のため複数の希望日を記入してください。）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　月　　日（　）</w:t>
            </w:r>
          </w:p>
        </w:tc>
        <w:tc>
          <w:tcPr>
            <w:tcW w:w="6520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10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12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13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15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～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17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時　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color w:val="000000" w:themeColor="text1"/>
                <w:sz w:val="20"/>
              </w:rPr>
              <w:t>希望無し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所属法人名・部署・役職</w:t>
            </w:r>
          </w:p>
        </w:tc>
      </w:tr>
      <w:tr>
        <w:trPr>
          <w:trHeight w:val="513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3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7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51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6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tabs>
          <w:tab w:val="left" w:leader="none" w:pos="284"/>
        </w:tabs>
        <w:spacing w:line="260" w:lineRule="exact"/>
        <w:ind w:left="489" w:leftChars="33" w:hanging="420" w:hangingChars="200"/>
        <w:rPr>
          <w:rFonts w:hint="eastAsia" w:ascii="UD デジタル 教科書体 NP-R" w:hAnsi="UD デジタル 教科書体 NP-R" w:eastAsia="UD デジタル 教科書体 NP-R"/>
          <w:color w:val="FF0000"/>
        </w:rPr>
      </w:pPr>
      <w:r>
        <w:rPr>
          <w:rFonts w:hint="eastAsia" w:ascii="UD デジタル 教科書体 NP-R" w:hAnsi="UD デジタル 教科書体 NP-R" w:eastAsia="UD デジタル 教科書体 NP-R"/>
        </w:rPr>
        <w:t>※　お申し込み期限は、令和７年７月３１日（木）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１７時必着とします。</w:t>
      </w:r>
    </w:p>
    <w:p>
      <w:pPr>
        <w:pStyle w:val="0"/>
        <w:tabs>
          <w:tab w:val="left" w:leader="none" w:pos="284"/>
        </w:tabs>
        <w:spacing w:line="260" w:lineRule="exact"/>
        <w:ind w:left="489" w:leftChars="33" w:hanging="420" w:hangingChars="2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※　サウンディングの実施は、令和７年６月～８月の期間中１０時～１７時（終了時刻）で随時調整します。（土曜・日曜・祝日を除く）</w:t>
      </w:r>
    </w:p>
    <w:p>
      <w:pPr>
        <w:pStyle w:val="0"/>
        <w:tabs>
          <w:tab w:val="left" w:leader="none" w:pos="284"/>
        </w:tabs>
        <w:spacing w:line="260" w:lineRule="exact"/>
        <w:ind w:left="489" w:leftChars="33" w:hanging="420" w:hanging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　本申込書を受領後、調整の上、実施日時及び場所を電子メールにてご連絡します。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spacing w:line="260" w:lineRule="exact"/>
        <w:ind w:left="420" w:left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（都合により希望に添えない場合もありますので、予めご了承ください。）</w:t>
      </w: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8"/>
        </w:rPr>
        <w:t>●ヒアリング事項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　　※別紙での提出も可</w:t>
      </w: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１．施設の活用方法として興味のある方法を選択してください。（複数回答可）</w:t>
      </w:r>
    </w:p>
    <w:tbl>
      <w:tblPr>
        <w:tblStyle w:val="39"/>
        <w:tblpPr w:leftFromText="142" w:rightFromText="142" w:topFromText="0" w:bottomFromText="0" w:vertAnchor="text" w:horzAnchor="text" w:tblpX="309" w:tblpY="9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822"/>
      </w:tblGrid>
      <w:tr>
        <w:trPr>
          <w:trHeight w:val="1168" w:hRule="atLeast"/>
        </w:trPr>
        <w:tc>
          <w:tcPr>
            <w:tcW w:w="8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建物譲渡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／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土地譲渡</w:t>
            </w:r>
          </w:p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建物譲渡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／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土地貸借</w:t>
            </w:r>
          </w:p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建物貸借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／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土地貸借</w:t>
            </w:r>
          </w:p>
          <w:p>
            <w:pPr>
              <w:pStyle w:val="0"/>
              <w:widowControl w:val="1"/>
              <w:snapToGrid w:val="0"/>
              <w:ind w:left="210" w:left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□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その他</w:t>
            </w:r>
          </w:p>
        </w:tc>
      </w:tr>
      <w:tr>
        <w:trPr>
          <w:trHeight w:val="1168" w:hRule="atLeast"/>
        </w:trPr>
        <w:tc>
          <w:tcPr>
            <w:tcW w:w="8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譲渡又は貸借を受ける際に希望する条件</w:t>
            </w: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color w:val="auto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  <w:sz w:val="22"/>
        </w:rPr>
        <w:t>２．現状の施設に対する評価、所感（魅力やメリット、デメリット、改善点など）</w:t>
      </w:r>
    </w:p>
    <w:tbl>
      <w:tblPr>
        <w:tblStyle w:val="39"/>
        <w:tblpPr w:leftFromText="142" w:rightFromText="142" w:topFromText="0" w:bottomFromText="0" w:vertAnchor="text" w:horzAnchor="text" w:tblpX="309" w:tblpY="92"/>
        <w:tblW w:w="0" w:type="auto"/>
        <w:tblLayout w:type="fixed"/>
        <w:tblLook w:firstRow="1" w:lastRow="0" w:firstColumn="1" w:lastColumn="0" w:noHBand="0" w:noVBand="1" w:val="04A0"/>
      </w:tblPr>
      <w:tblGrid>
        <w:gridCol w:w="8822"/>
      </w:tblGrid>
      <w:tr>
        <w:trPr/>
        <w:tc>
          <w:tcPr>
            <w:tcW w:w="8822" w:type="dxa"/>
            <w:vAlign w:val="center"/>
          </w:tcPr>
          <w:p>
            <w:pPr>
              <w:pStyle w:val="0"/>
              <w:widowControl w:val="1"/>
              <w:snapToGrid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220" w:hanging="220" w:hanging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３．今後の運営・管理、事業手法の提案（事業概要、利用料金、収支見込、強みなど）</w:t>
      </w:r>
    </w:p>
    <w:tbl>
      <w:tblPr>
        <w:tblStyle w:val="39"/>
        <w:tblpPr w:leftFromText="142" w:rightFromText="142" w:topFromText="0" w:bottomFromText="0" w:vertAnchor="text" w:horzAnchor="text" w:tblpX="337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8794"/>
      </w:tblGrid>
      <w:tr>
        <w:trPr/>
        <w:tc>
          <w:tcPr>
            <w:tcW w:w="87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４．建物及び設備に対する考え方（改修、解体、増築、減築など）</w:t>
      </w:r>
    </w:p>
    <w:tbl>
      <w:tblPr>
        <w:tblStyle w:val="39"/>
        <w:tblpPr w:leftFromText="142" w:rightFromText="142" w:topFromText="0" w:bottomFromText="0" w:vertAnchor="text" w:horzAnchor="text" w:tblpX="337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8794"/>
      </w:tblGrid>
      <w:tr>
        <w:trPr/>
        <w:tc>
          <w:tcPr>
            <w:tcW w:w="87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５．その他（市に求める支援、地域貢献、周辺施設との連携ほか、自由記載）</w:t>
      </w:r>
    </w:p>
    <w:tbl>
      <w:tblPr>
        <w:tblStyle w:val="39"/>
        <w:tblpPr w:leftFromText="142" w:rightFromText="142" w:topFromText="0" w:bottomFromText="0" w:vertAnchor="text" w:horzAnchor="text" w:tblpX="337" w:tblpY="24"/>
        <w:tblW w:w="0" w:type="auto"/>
        <w:tblLayout w:type="fixed"/>
        <w:tblLook w:firstRow="1" w:lastRow="0" w:firstColumn="1" w:lastColumn="0" w:noHBand="0" w:noVBand="1" w:val="04A0"/>
      </w:tblPr>
      <w:tblGrid>
        <w:gridCol w:w="8794"/>
      </w:tblGrid>
      <w:tr>
        <w:trPr/>
        <w:tc>
          <w:tcPr>
            <w:tcW w:w="8794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UD デジタル 教科書体 NP-R" w:hAnsi="UD デジタル 教科書体 NP-R" w:eastAsia="UD デジタル 教科書体 NP-R"/>
          <w:b w:val="1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1128</TotalTime>
  <Pages>14</Pages>
  <Words>133</Words>
  <Characters>4811</Characters>
  <Application>JUST Note</Application>
  <Lines>10186</Lines>
  <Paragraphs>257</Paragraphs>
  <CharactersWithSpaces>5032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吉木　武</cp:lastModifiedBy>
  <cp:lastPrinted>2025-05-19T08:43:30Z</cp:lastPrinted>
  <dcterms:created xsi:type="dcterms:W3CDTF">2024-12-18T06:52:00Z</dcterms:created>
  <dcterms:modified xsi:type="dcterms:W3CDTF">2025-05-26T23:54:01Z</dcterms:modified>
  <cp:revision>36</cp:revision>
</cp:coreProperties>
</file>