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Century" w:hAnsi="Century" w:eastAsia="ＭＳ 明朝"/>
          <w:color w:val="FF0000"/>
          <w:sz w:val="24"/>
        </w:rPr>
      </w:pPr>
      <w:r>
        <w:rPr>
          <w:rFonts w:hint="eastAsia" w:ascii="Century" w:hAnsi="Century" w:eastAsia="ＭＳ 明朝"/>
          <w:color w:val="auto"/>
          <w:sz w:val="24"/>
        </w:rPr>
        <w:t>令和８年度　社会福祉法人自主点検表（会計管理編）</w:t>
      </w:r>
    </w:p>
    <w:p>
      <w:pPr>
        <w:pStyle w:val="0"/>
        <w:widowControl w:val="1"/>
        <w:jc w:val="left"/>
        <w:rPr>
          <w:rFonts w:hint="default" w:ascii="Century" w:hAnsi="Century" w:eastAsia="ＭＳ 明朝"/>
          <w:color w:val="FF0000"/>
        </w:rPr>
      </w:pPr>
    </w:p>
    <w:tbl>
      <w:tblPr>
        <w:tblStyle w:val="31"/>
        <w:tblW w:w="9633" w:type="dxa"/>
        <w:tblInd w:w="-5" w:type="dxa"/>
        <w:tblLayout w:type="fixed"/>
        <w:tblLook w:firstRow="1" w:lastRow="0" w:firstColumn="1" w:lastColumn="0" w:noHBand="0" w:noVBand="1" w:val="04A0"/>
      </w:tblPr>
      <w:tblGrid>
        <w:gridCol w:w="1351"/>
        <w:gridCol w:w="4628"/>
        <w:gridCol w:w="1910"/>
        <w:gridCol w:w="580"/>
        <w:gridCol w:w="602"/>
        <w:gridCol w:w="562"/>
      </w:tblGrid>
      <w:tr>
        <w:trPr>
          <w:cantSplit/>
          <w:trHeight w:val="906" w:hRule="atLeast"/>
          <w:tblHeader/>
        </w:trPr>
        <w:tc>
          <w:tcPr>
            <w:tcW w:w="1351"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項目</w:t>
            </w:r>
          </w:p>
        </w:tc>
        <w:tc>
          <w:tcPr>
            <w:tcW w:w="4629"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確　認　事　項</w:t>
            </w:r>
          </w:p>
        </w:tc>
        <w:tc>
          <w:tcPr>
            <w:tcW w:w="1910"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確認書類</w:t>
            </w:r>
          </w:p>
        </w:tc>
        <w:tc>
          <w:tcPr>
            <w:tcW w:w="580" w:type="dxa"/>
            <w:textDirection w:val="tbRlV"/>
            <w:vAlign w:val="center"/>
          </w:tcPr>
          <w:p>
            <w:pPr>
              <w:pStyle w:val="0"/>
              <w:ind w:right="113"/>
              <w:jc w:val="center"/>
              <w:rPr>
                <w:rFonts w:hint="default" w:ascii="ＭＳ 明朝" w:hAnsi="ＭＳ 明朝" w:eastAsia="ＭＳ 明朝"/>
                <w:color w:val="auto"/>
                <w:sz w:val="20"/>
              </w:rPr>
            </w:pPr>
            <w:r>
              <w:rPr>
                <w:rFonts w:hint="eastAsia" w:ascii="ＭＳ 明朝" w:hAnsi="ＭＳ 明朝" w:eastAsia="ＭＳ 明朝"/>
                <w:color w:val="auto"/>
                <w:sz w:val="20"/>
              </w:rPr>
              <w:t>適</w:t>
            </w:r>
          </w:p>
        </w:tc>
        <w:tc>
          <w:tcPr>
            <w:tcW w:w="602" w:type="dxa"/>
            <w:textDirection w:val="tbRlV"/>
            <w:vAlign w:val="center"/>
          </w:tcPr>
          <w:p>
            <w:pPr>
              <w:pStyle w:val="0"/>
              <w:ind w:right="113"/>
              <w:jc w:val="center"/>
              <w:rPr>
                <w:rFonts w:hint="default" w:ascii="ＭＳ 明朝" w:hAnsi="ＭＳ 明朝" w:eastAsia="ＭＳ 明朝"/>
                <w:color w:val="auto"/>
                <w:sz w:val="20"/>
              </w:rPr>
            </w:pPr>
            <w:r>
              <w:rPr>
                <w:rFonts w:hint="eastAsia" w:ascii="ＭＳ 明朝" w:hAnsi="ＭＳ 明朝" w:eastAsia="ＭＳ 明朝"/>
                <w:color w:val="auto"/>
                <w:sz w:val="20"/>
              </w:rPr>
              <w:t>不　適</w:t>
            </w:r>
          </w:p>
        </w:tc>
        <w:tc>
          <w:tcPr>
            <w:tcW w:w="562" w:type="dxa"/>
            <w:textDirection w:val="tbRlV"/>
            <w:vAlign w:val="center"/>
          </w:tcPr>
          <w:p>
            <w:pPr>
              <w:pStyle w:val="0"/>
              <w:ind w:right="113"/>
              <w:jc w:val="center"/>
              <w:rPr>
                <w:rFonts w:hint="default" w:ascii="ＭＳ 明朝" w:hAnsi="ＭＳ 明朝" w:eastAsia="ＭＳ 明朝"/>
                <w:color w:val="auto"/>
                <w:sz w:val="20"/>
              </w:rPr>
            </w:pPr>
            <w:r>
              <w:rPr>
                <w:rFonts w:hint="eastAsia" w:ascii="ＭＳ 明朝" w:hAnsi="ＭＳ 明朝" w:eastAsia="ＭＳ 明朝"/>
                <w:color w:val="auto"/>
                <w:sz w:val="20"/>
              </w:rPr>
              <w:t>非該当</w:t>
            </w:r>
          </w:p>
        </w:tc>
      </w:tr>
      <w:tr>
        <w:trPr>
          <w:trHeight w:val="318"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予算</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毎会計年度開始前に理事長が資金収支予算を作成し、定款の定めに従い理事会等での承認などの手続きを適正に行っているか。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・定款</w:t>
            </w:r>
          </w:p>
          <w:p>
            <w:pPr>
              <w:pStyle w:val="0"/>
              <w:rPr>
                <w:rFonts w:hint="default" w:ascii="ＭＳ 明朝" w:hAnsi="ＭＳ 明朝" w:eastAsia="ＭＳ 明朝"/>
                <w:color w:val="auto"/>
              </w:rPr>
            </w:pPr>
            <w:r>
              <w:rPr>
                <w:rFonts w:hint="eastAsia" w:ascii="ＭＳ 明朝" w:hAnsi="ＭＳ 明朝" w:eastAsia="ＭＳ 明朝"/>
                <w:color w:val="auto"/>
              </w:rPr>
              <w:t>・事業計画書</w:t>
            </w:r>
          </w:p>
          <w:p>
            <w:pPr>
              <w:pStyle w:val="0"/>
              <w:rPr>
                <w:rFonts w:hint="default" w:ascii="ＭＳ 明朝" w:hAnsi="ＭＳ 明朝" w:eastAsia="ＭＳ 明朝"/>
                <w:color w:val="auto"/>
              </w:rPr>
            </w:pPr>
            <w:r>
              <w:rPr>
                <w:rFonts w:hint="eastAsia" w:ascii="ＭＳ 明朝" w:hAnsi="ＭＳ 明朝" w:eastAsia="ＭＳ 明朝"/>
                <w:color w:val="auto"/>
              </w:rPr>
              <w:t>・資金収支予算書</w:t>
            </w:r>
          </w:p>
          <w:p>
            <w:pPr>
              <w:pStyle w:val="0"/>
              <w:rPr>
                <w:rFonts w:hint="default" w:ascii="ＭＳ 明朝" w:hAnsi="ＭＳ 明朝" w:eastAsia="ＭＳ 明朝"/>
                <w:color w:val="auto"/>
              </w:rPr>
            </w:pPr>
            <w:r>
              <w:rPr>
                <w:rFonts w:hint="eastAsia" w:ascii="ＭＳ 明朝" w:hAnsi="ＭＳ 明朝" w:eastAsia="ＭＳ 明朝"/>
                <w:color w:val="auto"/>
              </w:rPr>
              <w:t>・理事会等議事録</w:t>
            </w:r>
          </w:p>
        </w:tc>
        <w:tc>
          <w:tcPr>
            <w:tcW w:w="580" w:type="dxa"/>
            <w:vAlign w:val="center"/>
          </w:tcPr>
          <w:p>
            <w:pPr>
              <w:pStyle w:val="0"/>
              <w:jc w:val="center"/>
              <w:rPr>
                <w:rFonts w:hint="default"/>
                <w:color w:val="auto"/>
                <w:sz w:val="24"/>
              </w:rPr>
            </w:pPr>
            <w:sdt>
              <w:sdtPr>
                <w:rPr>
                  <w:rFonts w:hint="default"/>
                  <w:color w:val="auto"/>
                  <w:sz w:val="24"/>
                </w:rPr>
                <w:id w:val="-64127198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213693066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continue"/>
            <w:textDirection w:val="tbRlV"/>
            <w:vAlign w:val="center"/>
          </w:tcPr>
          <w:p>
            <w:pPr>
              <w:pStyle w:val="0"/>
              <w:ind w:right="113"/>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予算措置を伴う事業計画の変更が生じた場合に、理事長が補正予算を編成し、定款の定めに従い理事会等での承認などの手続きを適正に行っているか。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・定款</w:t>
            </w:r>
          </w:p>
          <w:p>
            <w:pPr>
              <w:pStyle w:val="0"/>
              <w:rPr>
                <w:rFonts w:hint="default" w:ascii="ＭＳ 明朝" w:hAnsi="ＭＳ 明朝" w:eastAsia="ＭＳ 明朝"/>
                <w:color w:val="auto"/>
              </w:rPr>
            </w:pPr>
            <w:r>
              <w:rPr>
                <w:rFonts w:hint="eastAsia" w:ascii="ＭＳ 明朝" w:hAnsi="ＭＳ 明朝" w:eastAsia="ＭＳ 明朝"/>
                <w:color w:val="auto"/>
              </w:rPr>
              <w:t>・変更事業計画書</w:t>
            </w:r>
          </w:p>
          <w:p>
            <w:pPr>
              <w:pStyle w:val="0"/>
              <w:rPr>
                <w:rFonts w:hint="default" w:ascii="ＭＳ 明朝" w:hAnsi="ＭＳ 明朝" w:eastAsia="ＭＳ 明朝"/>
                <w:color w:val="auto"/>
              </w:rPr>
            </w:pPr>
            <w:r>
              <w:rPr>
                <w:rFonts w:hint="eastAsia" w:ascii="ＭＳ 明朝" w:hAnsi="ＭＳ 明朝" w:eastAsia="ＭＳ 明朝"/>
                <w:color w:val="auto"/>
              </w:rPr>
              <w:t>・資金収支予算書</w:t>
            </w:r>
          </w:p>
          <w:p>
            <w:pPr>
              <w:pStyle w:val="0"/>
              <w:rPr>
                <w:rFonts w:hint="default" w:ascii="ＭＳ 明朝" w:hAnsi="ＭＳ 明朝" w:eastAsia="ＭＳ 明朝"/>
                <w:color w:val="auto"/>
              </w:rPr>
            </w:pPr>
            <w:r>
              <w:rPr>
                <w:rFonts w:hint="eastAsia" w:ascii="ＭＳ 明朝" w:hAnsi="ＭＳ 明朝" w:eastAsia="ＭＳ 明朝"/>
                <w:color w:val="auto"/>
              </w:rPr>
              <w:t>・理事会等議事録</w:t>
            </w:r>
          </w:p>
        </w:tc>
        <w:tc>
          <w:tcPr>
            <w:tcW w:w="580" w:type="dxa"/>
            <w:vAlign w:val="center"/>
          </w:tcPr>
          <w:p>
            <w:pPr>
              <w:pStyle w:val="0"/>
              <w:jc w:val="center"/>
              <w:rPr>
                <w:rFonts w:hint="default"/>
                <w:color w:val="auto"/>
                <w:sz w:val="24"/>
              </w:rPr>
            </w:pPr>
            <w:sdt>
              <w:sdtPr>
                <w:rPr>
                  <w:rFonts w:hint="default"/>
                  <w:color w:val="auto"/>
                  <w:sz w:val="24"/>
                </w:rPr>
                <w:id w:val="699413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206890353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24793482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textDirection w:val="tbRlV"/>
            <w:vAlign w:val="center"/>
          </w:tcPr>
          <w:p>
            <w:pPr>
              <w:pStyle w:val="0"/>
              <w:ind w:right="113"/>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予算管理の単位（拠点区分）ごとに予算管理責任者を任命しているか。</w:t>
            </w:r>
          </w:p>
        </w:tc>
        <w:tc>
          <w:tcPr>
            <w:tcW w:w="1910" w:type="dxa"/>
            <w:vMerge w:val="restart"/>
            <w:vAlign w:val="top"/>
          </w:tcPr>
          <w:p>
            <w:pPr>
              <w:pStyle w:val="0"/>
              <w:rPr>
                <w:rFonts w:hint="default" w:ascii="ＭＳ 明朝" w:hAnsi="ＭＳ 明朝" w:eastAsia="ＭＳ 明朝"/>
                <w:color w:val="auto"/>
              </w:rPr>
            </w:pPr>
            <w:r>
              <w:rPr>
                <w:rFonts w:hint="eastAsia" w:ascii="ＭＳ 明朝" w:hAnsi="ＭＳ 明朝" w:eastAsia="ＭＳ 明朝"/>
                <w:color w:val="auto"/>
              </w:rPr>
              <w:t>・選任に関する伺書（稟議書）等</w:t>
            </w:r>
          </w:p>
          <w:p>
            <w:pPr>
              <w:pStyle w:val="0"/>
              <w:rPr>
                <w:rFonts w:hint="default" w:ascii="ＭＳ 明朝" w:hAnsi="ＭＳ 明朝" w:eastAsia="ＭＳ 明朝"/>
                <w:color w:val="auto"/>
              </w:rPr>
            </w:pPr>
            <w:r>
              <w:rPr>
                <w:rFonts w:hint="eastAsia" w:ascii="ＭＳ 明朝" w:hAnsi="ＭＳ 明朝" w:eastAsia="ＭＳ 明朝"/>
                <w:color w:val="auto"/>
              </w:rPr>
              <w:t>・報告書</w:t>
            </w:r>
          </w:p>
        </w:tc>
        <w:tc>
          <w:tcPr>
            <w:tcW w:w="580" w:type="dxa"/>
            <w:vAlign w:val="center"/>
          </w:tcPr>
          <w:p>
            <w:pPr>
              <w:pStyle w:val="0"/>
              <w:jc w:val="center"/>
              <w:rPr>
                <w:rFonts w:hint="default"/>
                <w:color w:val="auto"/>
                <w:sz w:val="24"/>
              </w:rPr>
            </w:pPr>
            <w:sdt>
              <w:sdtPr>
                <w:rPr>
                  <w:rFonts w:hint="default"/>
                  <w:color w:val="auto"/>
                  <w:sz w:val="24"/>
                </w:rPr>
                <w:id w:val="-102463326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43282478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continue"/>
            <w:textDirection w:val="tbRlV"/>
            <w:vAlign w:val="center"/>
          </w:tcPr>
          <w:p>
            <w:pPr>
              <w:pStyle w:val="0"/>
              <w:ind w:right="113"/>
              <w:jc w:val="center"/>
              <w:rPr>
                <w:rFonts w:hint="default" w:ascii="ＭＳ 明朝" w:hAnsi="ＭＳ 明朝" w:eastAsia="ＭＳ 明朝"/>
                <w:sz w:val="20"/>
              </w:rPr>
            </w:pPr>
          </w:p>
        </w:tc>
        <w:tc>
          <w:tcPr>
            <w:tcW w:w="4629" w:type="dxa"/>
            <w:vAlign w:val="center"/>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予算管理責任者が毎月予算の執行状況を確認し、予算実績の差異について原因の分析を行い、その結果を理事長に報告しているか。</w:t>
            </w:r>
          </w:p>
        </w:tc>
        <w:tc>
          <w:tcPr>
            <w:tcW w:w="1910" w:type="dxa"/>
            <w:vMerge w:val="continue"/>
            <w:vAlign w:val="top"/>
          </w:tcPr>
          <w:p>
            <w:pPr>
              <w:pStyle w:val="0"/>
              <w:rPr>
                <w:rFonts w:hint="default" w:ascii="ＭＳ 明朝" w:hAnsi="ＭＳ 明朝" w:eastAsia="ＭＳ 明朝"/>
              </w:rPr>
            </w:pPr>
          </w:p>
        </w:tc>
        <w:tc>
          <w:tcPr>
            <w:tcW w:w="580" w:type="dxa"/>
            <w:vAlign w:val="center"/>
          </w:tcPr>
          <w:p>
            <w:pPr>
              <w:pStyle w:val="0"/>
              <w:jc w:val="center"/>
              <w:rPr>
                <w:rFonts w:hint="default"/>
                <w:color w:val="auto"/>
                <w:sz w:val="24"/>
              </w:rPr>
            </w:pPr>
            <w:sdt>
              <w:sdtPr>
                <w:rPr>
                  <w:rFonts w:hint="default"/>
                  <w:color w:val="auto"/>
                  <w:sz w:val="24"/>
                </w:rPr>
                <w:id w:val="141465988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80723461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continue"/>
            <w:textDirection w:val="tbRlV"/>
            <w:vAlign w:val="center"/>
          </w:tcPr>
          <w:p>
            <w:pPr>
              <w:pStyle w:val="0"/>
              <w:ind w:right="113"/>
              <w:jc w:val="center"/>
              <w:rPr>
                <w:rFonts w:hint="default" w:ascii="ＭＳ 明朝" w:hAnsi="ＭＳ 明朝" w:eastAsia="ＭＳ 明朝"/>
                <w:sz w:val="20"/>
              </w:rPr>
            </w:pPr>
          </w:p>
        </w:tc>
        <w:tc>
          <w:tcPr>
            <w:tcW w:w="4629" w:type="dxa"/>
            <w:vAlign w:val="center"/>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予算管理責任者は、次に掲げる事項が生じたときに、理事長の承認を事前に得ているか。（前期末支払資金残高（繰越金）の取崩しについては理事会の承認を得ているか。）</w:t>
            </w:r>
          </w:p>
          <w:p>
            <w:pPr>
              <w:pStyle w:val="0"/>
              <w:rPr>
                <w:rFonts w:hint="default" w:ascii="ＭＳ 明朝" w:hAnsi="ＭＳ 明朝" w:eastAsia="ＭＳ 明朝"/>
                <w:color w:val="auto"/>
                <w:sz w:val="20"/>
              </w:rPr>
            </w:pPr>
            <w:r>
              <w:rPr>
                <w:rFonts w:hint="eastAsia" w:ascii="ＭＳ 明朝" w:hAnsi="ＭＳ 明朝" w:eastAsia="ＭＳ 明朝"/>
                <w:color w:val="auto"/>
                <w:sz w:val="20"/>
              </w:rPr>
              <w:t>①前期末支払資金残高（繰越金）の取崩し</w:t>
            </w:r>
          </w:p>
          <w:p>
            <w:pPr>
              <w:pStyle w:val="0"/>
              <w:rPr>
                <w:rFonts w:hint="default" w:ascii="ＭＳ 明朝" w:hAnsi="ＭＳ 明朝" w:eastAsia="ＭＳ 明朝"/>
                <w:color w:val="auto"/>
                <w:sz w:val="20"/>
              </w:rPr>
            </w:pPr>
            <w:r>
              <w:rPr>
                <w:rFonts w:hint="eastAsia" w:ascii="ＭＳ 明朝" w:hAnsi="ＭＳ 明朝" w:eastAsia="ＭＳ 明朝"/>
                <w:color w:val="auto"/>
                <w:sz w:val="20"/>
              </w:rPr>
              <w:t>②拠点区分内の中区分の勘定科目相互間の予算流用</w:t>
            </w:r>
          </w:p>
          <w:p>
            <w:pPr>
              <w:pStyle w:val="0"/>
              <w:rPr>
                <w:rFonts w:hint="default" w:ascii="ＭＳ 明朝" w:hAnsi="ＭＳ 明朝" w:eastAsia="ＭＳ 明朝"/>
                <w:color w:val="auto"/>
                <w:sz w:val="20"/>
              </w:rPr>
            </w:pPr>
            <w:r>
              <w:rPr>
                <w:rFonts w:hint="eastAsia" w:ascii="ＭＳ 明朝" w:hAnsi="ＭＳ 明朝" w:eastAsia="ＭＳ 明朝"/>
                <w:color w:val="auto"/>
                <w:sz w:val="20"/>
              </w:rPr>
              <w:t>③予備費の使用</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・執行伺書等関係書類</w:t>
            </w:r>
          </w:p>
        </w:tc>
        <w:tc>
          <w:tcPr>
            <w:tcW w:w="580" w:type="dxa"/>
            <w:vAlign w:val="center"/>
          </w:tcPr>
          <w:p>
            <w:pPr>
              <w:pStyle w:val="0"/>
              <w:jc w:val="center"/>
              <w:rPr>
                <w:rFonts w:hint="default"/>
                <w:color w:val="auto"/>
                <w:sz w:val="24"/>
              </w:rPr>
            </w:pPr>
            <w:sdt>
              <w:sdtPr>
                <w:rPr>
                  <w:rFonts w:hint="default"/>
                  <w:color w:val="auto"/>
                  <w:sz w:val="24"/>
                </w:rPr>
                <w:id w:val="94341907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0943091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1889873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855"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経理体制</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経理規程の内容は、法令又は通知に違反していないか。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・定款</w:t>
            </w:r>
          </w:p>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・経理規程細則</w:t>
            </w:r>
          </w:p>
        </w:tc>
        <w:tc>
          <w:tcPr>
            <w:tcW w:w="580" w:type="dxa"/>
            <w:vAlign w:val="center"/>
          </w:tcPr>
          <w:p>
            <w:pPr>
              <w:pStyle w:val="0"/>
              <w:jc w:val="center"/>
              <w:rPr>
                <w:rFonts w:hint="default"/>
                <w:color w:val="auto"/>
                <w:sz w:val="24"/>
              </w:rPr>
            </w:pPr>
            <w:sdt>
              <w:sdtPr>
                <w:rPr>
                  <w:rFonts w:hint="default"/>
                  <w:color w:val="auto"/>
                  <w:sz w:val="24"/>
                </w:rPr>
                <w:id w:val="-12717029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82058019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850" w:hRule="atLeast"/>
        </w:trPr>
        <w:tc>
          <w:tcPr>
            <w:tcW w:w="1351" w:type="dxa"/>
            <w:vMerge w:val="continue"/>
            <w:vAlign w:val="center"/>
          </w:tcPr>
          <w:p>
            <w:pPr>
              <w:pStyle w:val="0"/>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経理規程等に定めるところにより、理事長が統括会計責任者、会計責任者、出納職員（現金管理責任者）を適正に任命しているか。</w:t>
            </w:r>
          </w:p>
        </w:tc>
        <w:tc>
          <w:tcPr>
            <w:tcW w:w="1910" w:type="dxa"/>
            <w:vMerge w:val="restart"/>
            <w:vAlign w:val="top"/>
          </w:tcPr>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・任免に係る関係書類</w:t>
            </w:r>
          </w:p>
          <w:p>
            <w:pPr>
              <w:pStyle w:val="0"/>
              <w:rPr>
                <w:rFonts w:hint="default" w:ascii="ＭＳ 明朝" w:hAnsi="ＭＳ 明朝" w:eastAsia="ＭＳ 明朝"/>
                <w:color w:val="auto"/>
              </w:rPr>
            </w:pPr>
            <w:r>
              <w:rPr>
                <w:rFonts w:hint="eastAsia" w:ascii="ＭＳ 明朝" w:hAnsi="ＭＳ 明朝" w:eastAsia="ＭＳ 明朝"/>
                <w:color w:val="auto"/>
              </w:rPr>
              <w:t>・委任規程</w:t>
            </w:r>
          </w:p>
          <w:p>
            <w:pPr>
              <w:pStyle w:val="0"/>
              <w:rPr>
                <w:rFonts w:hint="default" w:ascii="ＭＳ 明朝" w:hAnsi="ＭＳ 明朝" w:eastAsia="ＭＳ 明朝"/>
                <w:color w:val="auto"/>
              </w:rPr>
            </w:pPr>
            <w:r>
              <w:rPr>
                <w:rFonts w:hint="eastAsia" w:ascii="ＭＳ 明朝" w:hAnsi="ＭＳ 明朝" w:eastAsia="ＭＳ 明朝"/>
                <w:color w:val="auto"/>
              </w:rPr>
              <w:t>・事務分掌表</w:t>
            </w:r>
          </w:p>
          <w:p>
            <w:pPr>
              <w:pStyle w:val="0"/>
              <w:rPr>
                <w:rFonts w:hint="default" w:ascii="ＭＳ 明朝" w:hAnsi="ＭＳ 明朝" w:eastAsia="ＭＳ 明朝"/>
                <w:color w:val="auto"/>
              </w:rPr>
            </w:pPr>
            <w:r>
              <w:rPr>
                <w:rFonts w:hint="eastAsia" w:ascii="ＭＳ 明朝" w:hAnsi="ＭＳ 明朝" w:eastAsia="ＭＳ 明朝"/>
                <w:color w:val="auto"/>
              </w:rPr>
              <w:t>・辞令書</w:t>
            </w:r>
          </w:p>
        </w:tc>
        <w:tc>
          <w:tcPr>
            <w:tcW w:w="580" w:type="dxa"/>
            <w:vAlign w:val="center"/>
          </w:tcPr>
          <w:p>
            <w:pPr>
              <w:pStyle w:val="0"/>
              <w:jc w:val="center"/>
              <w:rPr>
                <w:rFonts w:hint="default"/>
                <w:color w:val="auto"/>
                <w:sz w:val="24"/>
              </w:rPr>
            </w:pPr>
            <w:sdt>
              <w:sdtPr>
                <w:rPr>
                  <w:rFonts w:hint="default"/>
                  <w:color w:val="auto"/>
                  <w:sz w:val="24"/>
                </w:rPr>
                <w:id w:val="-202801113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62114800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730" w:hRule="atLeast"/>
        </w:trPr>
        <w:tc>
          <w:tcPr>
            <w:tcW w:w="1351" w:type="dxa"/>
            <w:vMerge w:val="continue"/>
            <w:vAlign w:val="center"/>
          </w:tcPr>
          <w:p>
            <w:pPr>
              <w:pStyle w:val="0"/>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経理規程、事務分掌等により業務分担を明確にし、内部牽制に配慮した体制を整備しているか。</w:t>
            </w:r>
          </w:p>
        </w:tc>
        <w:tc>
          <w:tcPr>
            <w:tcW w:w="1910" w:type="dxa"/>
            <w:vMerge w:val="continue"/>
            <w:vAlign w:val="top"/>
          </w:tcPr>
          <w:p>
            <w:pPr>
              <w:pStyle w:val="0"/>
              <w:rPr>
                <w:rFonts w:hint="default" w:ascii="ＭＳ 明朝" w:hAnsi="ＭＳ 明朝" w:eastAsia="ＭＳ 明朝"/>
              </w:rPr>
            </w:pPr>
          </w:p>
        </w:tc>
        <w:tc>
          <w:tcPr>
            <w:tcW w:w="580" w:type="dxa"/>
            <w:vAlign w:val="center"/>
          </w:tcPr>
          <w:p>
            <w:pPr>
              <w:pStyle w:val="0"/>
              <w:jc w:val="center"/>
              <w:rPr>
                <w:rFonts w:hint="default"/>
                <w:color w:val="auto"/>
                <w:sz w:val="24"/>
              </w:rPr>
            </w:pPr>
            <w:sdt>
              <w:sdtPr>
                <w:rPr>
                  <w:rFonts w:hint="default"/>
                  <w:color w:val="auto"/>
                  <w:sz w:val="24"/>
                </w:rPr>
                <w:id w:val="21056152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09601608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224" w:hRule="atLeast"/>
        </w:trPr>
        <w:tc>
          <w:tcPr>
            <w:tcW w:w="1351" w:type="dxa"/>
            <w:vMerge w:val="continue"/>
            <w:vAlign w:val="center"/>
          </w:tcPr>
          <w:p>
            <w:pPr>
              <w:pStyle w:val="0"/>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理事長が会計責任者を兼務していないか。</w:t>
            </w:r>
          </w:p>
        </w:tc>
        <w:tc>
          <w:tcPr>
            <w:tcW w:w="1910" w:type="dxa"/>
            <w:vMerge w:val="continue"/>
            <w:vAlign w:val="top"/>
          </w:tcPr>
          <w:p>
            <w:pPr>
              <w:pStyle w:val="0"/>
              <w:rPr>
                <w:rFonts w:hint="default" w:ascii="ＭＳ 明朝" w:hAnsi="ＭＳ 明朝" w:eastAsia="ＭＳ 明朝"/>
              </w:rPr>
            </w:pPr>
          </w:p>
        </w:tc>
        <w:tc>
          <w:tcPr>
            <w:tcW w:w="580" w:type="dxa"/>
            <w:vAlign w:val="center"/>
          </w:tcPr>
          <w:p>
            <w:pPr>
              <w:pStyle w:val="0"/>
              <w:jc w:val="center"/>
              <w:rPr>
                <w:rFonts w:hint="default"/>
                <w:color w:val="auto"/>
                <w:sz w:val="24"/>
              </w:rPr>
            </w:pPr>
            <w:sdt>
              <w:sdtPr>
                <w:rPr>
                  <w:rFonts w:hint="default"/>
                  <w:color w:val="auto"/>
                  <w:sz w:val="24"/>
                </w:rPr>
                <w:id w:val="-140567646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90773120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224" w:hRule="atLeast"/>
        </w:trPr>
        <w:tc>
          <w:tcPr>
            <w:tcW w:w="1351" w:type="dxa"/>
            <w:vMerge w:val="continue"/>
            <w:vAlign w:val="center"/>
          </w:tcPr>
          <w:p>
            <w:pPr>
              <w:pStyle w:val="0"/>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会計責任者が出納職員を兼務していないか。</w:t>
            </w:r>
          </w:p>
        </w:tc>
        <w:tc>
          <w:tcPr>
            <w:tcW w:w="1910" w:type="dxa"/>
            <w:vMerge w:val="continue"/>
            <w:vAlign w:val="top"/>
          </w:tcPr>
          <w:p>
            <w:pPr>
              <w:pStyle w:val="0"/>
              <w:rPr>
                <w:rFonts w:hint="default" w:ascii="ＭＳ 明朝" w:hAnsi="ＭＳ 明朝" w:eastAsia="ＭＳ 明朝"/>
              </w:rPr>
            </w:pPr>
          </w:p>
        </w:tc>
        <w:tc>
          <w:tcPr>
            <w:tcW w:w="580" w:type="dxa"/>
            <w:vAlign w:val="center"/>
          </w:tcPr>
          <w:p>
            <w:pPr>
              <w:pStyle w:val="0"/>
              <w:jc w:val="center"/>
              <w:rPr>
                <w:rFonts w:hint="default"/>
                <w:color w:val="auto"/>
                <w:sz w:val="24"/>
              </w:rPr>
            </w:pPr>
            <w:sdt>
              <w:sdtPr>
                <w:rPr>
                  <w:rFonts w:hint="default"/>
                  <w:color w:val="auto"/>
                  <w:sz w:val="24"/>
                </w:rPr>
                <w:id w:val="185429683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39751029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698" w:hRule="atLeast"/>
        </w:trPr>
        <w:tc>
          <w:tcPr>
            <w:tcW w:w="1351" w:type="dxa"/>
            <w:vMerge w:val="continue"/>
            <w:vAlign w:val="center"/>
          </w:tcPr>
          <w:p>
            <w:pPr>
              <w:pStyle w:val="0"/>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bdr w:val="single" w:color="auto" w:sz="4" w:space="0"/>
              </w:rPr>
            </w:pPr>
            <w:r>
              <w:rPr>
                <w:rFonts w:hint="eastAsia" w:ascii="ＭＳ 明朝" w:hAnsi="ＭＳ 明朝" w:eastAsia="ＭＳ 明朝"/>
                <w:color w:val="auto"/>
                <w:sz w:val="20"/>
              </w:rPr>
              <w:t>経理規程及びその細則等に定めるところにより会計処理を行っているか。</w:t>
            </w:r>
          </w:p>
        </w:tc>
        <w:tc>
          <w:tcPr>
            <w:tcW w:w="1910" w:type="dxa"/>
            <w:vMerge w:val="continue"/>
            <w:vAlign w:val="top"/>
          </w:tcPr>
          <w:p>
            <w:pPr>
              <w:pStyle w:val="0"/>
              <w:rPr>
                <w:rFonts w:hint="default" w:ascii="ＭＳ 明朝" w:hAnsi="ＭＳ 明朝" w:eastAsia="ＭＳ 明朝"/>
              </w:rPr>
            </w:pPr>
          </w:p>
        </w:tc>
        <w:tc>
          <w:tcPr>
            <w:tcW w:w="580" w:type="dxa"/>
            <w:vAlign w:val="center"/>
          </w:tcPr>
          <w:p>
            <w:pPr>
              <w:pStyle w:val="0"/>
              <w:jc w:val="center"/>
              <w:rPr>
                <w:rFonts w:hint="default"/>
                <w:color w:val="auto"/>
                <w:sz w:val="24"/>
              </w:rPr>
            </w:pPr>
            <w:sdt>
              <w:sdtPr>
                <w:rPr>
                  <w:rFonts w:hint="default"/>
                  <w:color w:val="auto"/>
                  <w:sz w:val="24"/>
                </w:rPr>
                <w:id w:val="14641137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208529061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1307"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現金（小切手を含む）及び預貯金通帳を管理する現金預金管理責任者と、印鑑（銀行印）の保管責任者を別々に定めるとともに、それぞれが別の施錠が可能な保管場所において管理されているか。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・任免に係る関係書類</w:t>
            </w:r>
          </w:p>
          <w:p>
            <w:pPr>
              <w:pStyle w:val="0"/>
              <w:rPr>
                <w:rFonts w:hint="default" w:ascii="ＭＳ 明朝" w:hAnsi="ＭＳ 明朝" w:eastAsia="ＭＳ 明朝"/>
                <w:color w:val="auto"/>
              </w:rPr>
            </w:pPr>
            <w:r>
              <w:rPr>
                <w:rFonts w:hint="eastAsia" w:ascii="ＭＳ 明朝" w:hAnsi="ＭＳ 明朝" w:eastAsia="ＭＳ 明朝"/>
                <w:color w:val="auto"/>
              </w:rPr>
              <w:t>・委任規程</w:t>
            </w:r>
          </w:p>
          <w:p>
            <w:pPr>
              <w:pStyle w:val="0"/>
              <w:rPr>
                <w:rFonts w:hint="default" w:ascii="ＭＳ 明朝" w:hAnsi="ＭＳ 明朝" w:eastAsia="ＭＳ 明朝"/>
                <w:color w:val="auto"/>
              </w:rPr>
            </w:pPr>
            <w:r>
              <w:rPr>
                <w:rFonts w:hint="eastAsia" w:ascii="ＭＳ 明朝" w:hAnsi="ＭＳ 明朝" w:eastAsia="ＭＳ 明朝"/>
                <w:color w:val="auto"/>
              </w:rPr>
              <w:t>・事務分掌表</w:t>
            </w:r>
          </w:p>
        </w:tc>
        <w:tc>
          <w:tcPr>
            <w:tcW w:w="580" w:type="dxa"/>
            <w:vAlign w:val="center"/>
          </w:tcPr>
          <w:p>
            <w:pPr>
              <w:pStyle w:val="0"/>
              <w:jc w:val="center"/>
              <w:rPr>
                <w:rFonts w:hint="default"/>
                <w:color w:val="auto"/>
                <w:sz w:val="24"/>
              </w:rPr>
            </w:pPr>
            <w:sdt>
              <w:sdtPr>
                <w:rPr>
                  <w:rFonts w:hint="default"/>
                  <w:color w:val="auto"/>
                  <w:sz w:val="24"/>
                </w:rPr>
                <w:id w:val="104023805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08760949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経理体制</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小口現金を設けている場合に、理事長が小口現金取扱責任者を任命しているか。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・任免に係る関係書類</w:t>
            </w:r>
          </w:p>
          <w:p>
            <w:pPr>
              <w:pStyle w:val="0"/>
              <w:rPr>
                <w:rFonts w:hint="default" w:ascii="ＭＳ 明朝" w:hAnsi="ＭＳ 明朝" w:eastAsia="ＭＳ 明朝"/>
                <w:color w:val="auto"/>
              </w:rPr>
            </w:pPr>
            <w:r>
              <w:rPr>
                <w:rFonts w:hint="eastAsia" w:ascii="ＭＳ 明朝" w:hAnsi="ＭＳ 明朝" w:eastAsia="ＭＳ 明朝"/>
                <w:color w:val="auto"/>
              </w:rPr>
              <w:t>・委任規程</w:t>
            </w:r>
          </w:p>
          <w:p>
            <w:pPr>
              <w:pStyle w:val="0"/>
              <w:rPr>
                <w:rFonts w:hint="default" w:ascii="ＭＳ 明朝" w:hAnsi="ＭＳ 明朝" w:eastAsia="ＭＳ 明朝"/>
                <w:color w:val="auto"/>
              </w:rPr>
            </w:pPr>
            <w:r>
              <w:rPr>
                <w:rFonts w:hint="eastAsia" w:ascii="ＭＳ 明朝" w:hAnsi="ＭＳ 明朝" w:eastAsia="ＭＳ 明朝"/>
                <w:color w:val="auto"/>
              </w:rPr>
              <w:t>・事務分掌表</w:t>
            </w:r>
          </w:p>
        </w:tc>
        <w:tc>
          <w:tcPr>
            <w:tcW w:w="580" w:type="dxa"/>
            <w:vAlign w:val="center"/>
          </w:tcPr>
          <w:p>
            <w:pPr>
              <w:pStyle w:val="0"/>
              <w:jc w:val="center"/>
              <w:rPr>
                <w:rFonts w:hint="default"/>
                <w:color w:val="auto"/>
                <w:sz w:val="24"/>
              </w:rPr>
            </w:pPr>
            <w:sdt>
              <w:sdtPr>
                <w:rPr>
                  <w:rFonts w:hint="default"/>
                  <w:color w:val="auto"/>
                  <w:sz w:val="24"/>
                </w:rPr>
                <w:id w:val="19119244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89277357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36244025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c>
          <w:tcPr>
            <w:tcW w:w="1351" w:type="dxa"/>
            <w:vMerge w:val="continue"/>
            <w:vAlign w:val="center"/>
          </w:tcPr>
          <w:p>
            <w:pPr>
              <w:pStyle w:val="0"/>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インターネットバンキングを利用している場合に、運用に関する規程を整備するととともに、理事長が運用責任者を任命しているか。</w:t>
            </w:r>
          </w:p>
        </w:tc>
        <w:tc>
          <w:tcPr>
            <w:tcW w:w="1910" w:type="dxa"/>
            <w:vMerge w:val="restart"/>
            <w:vAlign w:val="top"/>
          </w:tcPr>
          <w:p>
            <w:pPr>
              <w:pStyle w:val="0"/>
              <w:rPr>
                <w:rFonts w:hint="default" w:ascii="ＭＳ 明朝" w:hAnsi="ＭＳ 明朝" w:eastAsia="ＭＳ 明朝"/>
                <w:color w:val="auto"/>
              </w:rPr>
            </w:pPr>
            <w:r>
              <w:rPr>
                <w:rFonts w:hint="eastAsia" w:ascii="ＭＳ 明朝" w:hAnsi="ＭＳ 明朝" w:eastAsia="ＭＳ 明朝"/>
                <w:color w:val="auto"/>
              </w:rPr>
              <w:t>・関係規程</w:t>
            </w:r>
          </w:p>
          <w:p>
            <w:pPr>
              <w:pStyle w:val="0"/>
              <w:rPr>
                <w:rFonts w:hint="default" w:ascii="ＭＳ 明朝" w:hAnsi="ＭＳ 明朝" w:eastAsia="ＭＳ 明朝"/>
                <w:color w:val="auto"/>
              </w:rPr>
            </w:pPr>
            <w:r>
              <w:rPr>
                <w:rFonts w:hint="eastAsia" w:ascii="ＭＳ 明朝" w:hAnsi="ＭＳ 明朝" w:eastAsia="ＭＳ 明朝"/>
                <w:color w:val="auto"/>
              </w:rPr>
              <w:t>・任免に係る関係書類</w:t>
            </w:r>
          </w:p>
          <w:p>
            <w:pPr>
              <w:pStyle w:val="0"/>
              <w:rPr>
                <w:rFonts w:hint="default" w:ascii="ＭＳ 明朝" w:hAnsi="ＭＳ 明朝" w:eastAsia="ＭＳ 明朝"/>
                <w:color w:val="auto"/>
              </w:rPr>
            </w:pPr>
            <w:r>
              <w:rPr>
                <w:rFonts w:hint="eastAsia" w:ascii="ＭＳ 明朝" w:hAnsi="ＭＳ 明朝" w:eastAsia="ＭＳ 明朝"/>
                <w:color w:val="auto"/>
              </w:rPr>
              <w:t>・委任規程</w:t>
            </w:r>
          </w:p>
          <w:p>
            <w:pPr>
              <w:pStyle w:val="0"/>
              <w:rPr>
                <w:rFonts w:hint="default" w:ascii="ＭＳ 明朝" w:hAnsi="ＭＳ 明朝" w:eastAsia="ＭＳ 明朝"/>
                <w:color w:val="FF0000"/>
              </w:rPr>
            </w:pPr>
            <w:r>
              <w:rPr>
                <w:rFonts w:hint="eastAsia" w:ascii="ＭＳ 明朝" w:hAnsi="ＭＳ 明朝" w:eastAsia="ＭＳ 明朝"/>
                <w:color w:val="auto"/>
              </w:rPr>
              <w:t>・事務分掌表</w:t>
            </w:r>
          </w:p>
        </w:tc>
        <w:tc>
          <w:tcPr>
            <w:tcW w:w="580" w:type="dxa"/>
            <w:vAlign w:val="center"/>
          </w:tcPr>
          <w:p>
            <w:pPr>
              <w:pStyle w:val="0"/>
              <w:jc w:val="center"/>
              <w:rPr>
                <w:rFonts w:hint="default"/>
                <w:color w:val="auto"/>
                <w:sz w:val="24"/>
              </w:rPr>
            </w:pPr>
            <w:sdt>
              <w:sdtPr>
                <w:rPr>
                  <w:rFonts w:hint="default"/>
                  <w:color w:val="auto"/>
                  <w:sz w:val="24"/>
                </w:rPr>
                <w:id w:val="72148847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89689209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82203063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c>
          <w:tcPr>
            <w:tcW w:w="1351" w:type="dxa"/>
            <w:vMerge w:val="continue"/>
            <w:textDirection w:val="tbRlV"/>
            <w:vAlign w:val="center"/>
          </w:tcPr>
          <w:p>
            <w:pPr>
              <w:pStyle w:val="0"/>
              <w:ind w:right="113"/>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クレジットカードを利用している場合に、経理規程等にカード利用に係る規定を整備するとともに、理事長がカードの保管責任者を任命しているか。</w:t>
            </w:r>
          </w:p>
        </w:tc>
        <w:tc>
          <w:tcPr>
            <w:tcW w:w="1910" w:type="dxa"/>
            <w:vMerge w:val="continue"/>
            <w:vAlign w:val="top"/>
          </w:tcPr>
          <w:p>
            <w:pPr>
              <w:pStyle w:val="0"/>
              <w:rPr>
                <w:rFonts w:hint="default" w:ascii="ＭＳ 明朝" w:hAnsi="ＭＳ 明朝" w:eastAsia="ＭＳ 明朝"/>
              </w:rPr>
            </w:pPr>
          </w:p>
        </w:tc>
        <w:tc>
          <w:tcPr>
            <w:tcW w:w="580" w:type="dxa"/>
            <w:vAlign w:val="center"/>
          </w:tcPr>
          <w:p>
            <w:pPr>
              <w:pStyle w:val="0"/>
              <w:jc w:val="center"/>
              <w:rPr>
                <w:rFonts w:hint="default"/>
                <w:color w:val="auto"/>
                <w:sz w:val="24"/>
              </w:rPr>
            </w:pPr>
            <w:sdt>
              <w:sdtPr>
                <w:rPr>
                  <w:rFonts w:hint="default"/>
                  <w:color w:val="auto"/>
                  <w:sz w:val="24"/>
                </w:rPr>
                <w:id w:val="-106093876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7330687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73299839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1040" w:hRule="atLeast"/>
        </w:trPr>
        <w:tc>
          <w:tcPr>
            <w:tcW w:w="1351" w:type="dxa"/>
            <w:vMerge w:val="continue"/>
            <w:textDirection w:val="tbRlV"/>
            <w:vAlign w:val="center"/>
          </w:tcPr>
          <w:p>
            <w:pPr>
              <w:pStyle w:val="0"/>
              <w:ind w:right="113"/>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FF0000"/>
                <w:sz w:val="20"/>
              </w:rPr>
            </w:pPr>
            <w:r>
              <w:rPr>
                <w:rFonts w:hint="eastAsia" w:ascii="ＭＳ 明朝" w:hAnsi="ＭＳ 明朝" w:eastAsia="ＭＳ 明朝"/>
                <w:color w:val="auto"/>
                <w:sz w:val="20"/>
              </w:rPr>
              <w:t>会計責任者が毎月末日における月次残高試算表を作成し、理事長に提出しているか。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・月次残高試算表</w:t>
            </w:r>
          </w:p>
        </w:tc>
        <w:tc>
          <w:tcPr>
            <w:tcW w:w="580" w:type="dxa"/>
            <w:vAlign w:val="center"/>
          </w:tcPr>
          <w:p>
            <w:pPr>
              <w:pStyle w:val="0"/>
              <w:jc w:val="center"/>
              <w:rPr>
                <w:rFonts w:hint="default"/>
                <w:color w:val="auto"/>
                <w:sz w:val="24"/>
              </w:rPr>
            </w:pPr>
            <w:sdt>
              <w:sdtPr>
                <w:rPr>
                  <w:rFonts w:hint="default"/>
                  <w:color w:val="auto"/>
                  <w:sz w:val="24"/>
                </w:rPr>
                <w:id w:val="-47290716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66523958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1314"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会計処理</w:t>
            </w:r>
          </w:p>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の基準</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事業区分、拠点区分、サービス区分は、定款、法人が行っている事業の実態、法令等の事業種別等に基づいて適切に設定されているか。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・定款</w:t>
            </w:r>
          </w:p>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・計算書類</w:t>
            </w:r>
          </w:p>
        </w:tc>
        <w:tc>
          <w:tcPr>
            <w:tcW w:w="580" w:type="dxa"/>
            <w:vAlign w:val="center"/>
          </w:tcPr>
          <w:p>
            <w:pPr>
              <w:pStyle w:val="0"/>
              <w:jc w:val="center"/>
              <w:rPr>
                <w:rFonts w:hint="default"/>
                <w:color w:val="auto"/>
                <w:sz w:val="24"/>
              </w:rPr>
            </w:pPr>
            <w:sdt>
              <w:sdtPr>
                <w:rPr>
                  <w:rFonts w:hint="default"/>
                  <w:color w:val="auto"/>
                  <w:sz w:val="24"/>
                </w:rPr>
                <w:id w:val="4450057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77150901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2297" w:hRule="atLeast"/>
        </w:trPr>
        <w:tc>
          <w:tcPr>
            <w:tcW w:w="1351" w:type="dxa"/>
            <w:vMerge w:val="continue"/>
            <w:textDirection w:val="tbRlV"/>
            <w:vAlign w:val="center"/>
          </w:tcPr>
          <w:p>
            <w:pPr>
              <w:pStyle w:val="0"/>
              <w:ind w:right="113"/>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FF0000"/>
                <w:sz w:val="20"/>
              </w:rPr>
            </w:pPr>
            <w:r>
              <w:rPr>
                <w:rFonts w:hint="eastAsia" w:ascii="ＭＳ 明朝" w:hAnsi="ＭＳ 明朝" w:eastAsia="ＭＳ 明朝"/>
                <w:color w:val="auto"/>
                <w:sz w:val="20"/>
              </w:rPr>
              <w:t>会計帳簿、計算書類等で使用する勘定科目は、「社会福祉法人会計基準」に定められたものが使用されているか。勘定科目の適用は、「社会福祉法人会計基準の制定に伴う会計処理等に関する運用上の留意事項について（以下「運用上の留意事項」という。）」別添３に準拠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・経理規程細則</w:t>
            </w:r>
          </w:p>
          <w:p>
            <w:pPr>
              <w:pStyle w:val="0"/>
              <w:rPr>
                <w:rFonts w:hint="default" w:ascii="ＭＳ 明朝" w:hAnsi="ＭＳ 明朝" w:eastAsia="ＭＳ 明朝"/>
                <w:color w:val="auto"/>
              </w:rPr>
            </w:pPr>
            <w:r>
              <w:rPr>
                <w:rFonts w:hint="eastAsia" w:ascii="ＭＳ 明朝" w:hAnsi="ＭＳ 明朝" w:eastAsia="ＭＳ 明朝"/>
                <w:color w:val="auto"/>
              </w:rPr>
              <w:t>・会計帳簿</w:t>
            </w:r>
          </w:p>
          <w:p>
            <w:pPr>
              <w:pStyle w:val="0"/>
              <w:rPr>
                <w:rFonts w:hint="default" w:ascii="ＭＳ 明朝" w:hAnsi="ＭＳ 明朝" w:eastAsia="ＭＳ 明朝"/>
                <w:color w:val="FF0000"/>
              </w:rPr>
            </w:pPr>
            <w:r>
              <w:rPr>
                <w:rFonts w:hint="eastAsia" w:ascii="ＭＳ 明朝" w:hAnsi="ＭＳ 明朝" w:eastAsia="ＭＳ 明朝"/>
                <w:color w:val="auto"/>
              </w:rPr>
              <w:t>・計算書類</w:t>
            </w:r>
          </w:p>
        </w:tc>
        <w:tc>
          <w:tcPr>
            <w:tcW w:w="580" w:type="dxa"/>
            <w:vAlign w:val="center"/>
          </w:tcPr>
          <w:p>
            <w:pPr>
              <w:pStyle w:val="0"/>
              <w:jc w:val="center"/>
              <w:rPr>
                <w:rFonts w:hint="default"/>
                <w:color w:val="auto"/>
                <w:sz w:val="24"/>
              </w:rPr>
            </w:pPr>
            <w:sdt>
              <w:sdtPr>
                <w:rPr>
                  <w:rFonts w:hint="default"/>
                  <w:color w:val="auto"/>
                  <w:sz w:val="24"/>
                </w:rPr>
                <w:id w:val="-76769446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05584257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c>
          <w:tcPr>
            <w:tcW w:w="1351" w:type="dxa"/>
            <w:vMerge w:val="continue"/>
            <w:textDirection w:val="tbRlV"/>
            <w:vAlign w:val="center"/>
          </w:tcPr>
          <w:p>
            <w:pPr>
              <w:pStyle w:val="0"/>
              <w:ind w:right="113"/>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会計帳簿、計算書類、計算書類附属明細書及び財産目録に記載された金額は、総額をもって１円単位で表示しているか。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・会計帳簿</w:t>
            </w:r>
          </w:p>
          <w:p>
            <w:pPr>
              <w:pStyle w:val="0"/>
              <w:rPr>
                <w:rFonts w:hint="default" w:ascii="ＭＳ 明朝" w:hAnsi="ＭＳ 明朝" w:eastAsia="ＭＳ 明朝"/>
                <w:color w:val="auto"/>
              </w:rPr>
            </w:pPr>
            <w:r>
              <w:rPr>
                <w:rFonts w:hint="eastAsia" w:ascii="ＭＳ 明朝" w:hAnsi="ＭＳ 明朝" w:eastAsia="ＭＳ 明朝"/>
                <w:color w:val="auto"/>
              </w:rPr>
              <w:t>・計算書類</w:t>
            </w:r>
          </w:p>
          <w:p>
            <w:pPr>
              <w:pStyle w:val="0"/>
              <w:rPr>
                <w:rFonts w:hint="default" w:ascii="ＭＳ 明朝" w:hAnsi="ＭＳ 明朝" w:eastAsia="ＭＳ 明朝"/>
                <w:color w:val="auto"/>
              </w:rPr>
            </w:pPr>
            <w:r>
              <w:rPr>
                <w:rFonts w:hint="eastAsia" w:ascii="ＭＳ 明朝" w:hAnsi="ＭＳ 明朝" w:eastAsia="ＭＳ 明朝"/>
                <w:color w:val="auto"/>
              </w:rPr>
              <w:t>・計算書類附属明細書</w:t>
            </w:r>
          </w:p>
          <w:p>
            <w:pPr>
              <w:pStyle w:val="0"/>
              <w:rPr>
                <w:rFonts w:hint="default" w:ascii="ＭＳ 明朝" w:hAnsi="ＭＳ 明朝" w:eastAsia="ＭＳ 明朝"/>
                <w:color w:val="auto"/>
              </w:rPr>
            </w:pPr>
            <w:r>
              <w:rPr>
                <w:rFonts w:hint="eastAsia" w:ascii="ＭＳ 明朝" w:hAnsi="ＭＳ 明朝" w:eastAsia="ＭＳ 明朝"/>
                <w:color w:val="auto"/>
              </w:rPr>
              <w:t>・財産目録</w:t>
            </w:r>
          </w:p>
        </w:tc>
        <w:tc>
          <w:tcPr>
            <w:tcW w:w="580" w:type="dxa"/>
            <w:vAlign w:val="center"/>
          </w:tcPr>
          <w:p>
            <w:pPr>
              <w:pStyle w:val="0"/>
              <w:jc w:val="center"/>
              <w:rPr>
                <w:rFonts w:hint="default"/>
                <w:color w:val="auto"/>
                <w:sz w:val="24"/>
              </w:rPr>
            </w:pPr>
            <w:sdt>
              <w:sdtPr>
                <w:rPr>
                  <w:rFonts w:hint="default"/>
                  <w:color w:val="auto"/>
                  <w:sz w:val="24"/>
                </w:rPr>
                <w:id w:val="-153911220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07115482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c>
          <w:tcPr>
            <w:tcW w:w="1351" w:type="dxa"/>
            <w:vMerge w:val="continue"/>
            <w:textDirection w:val="tbRlV"/>
            <w:vAlign w:val="center"/>
          </w:tcPr>
          <w:p>
            <w:pPr>
              <w:pStyle w:val="0"/>
              <w:ind w:right="113"/>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会計帳簿及び計算書類において、重要性の原則を適用している場合に、その適用は適正に行われているか。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・経理規程細則</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・計算書類</w:t>
            </w:r>
          </w:p>
        </w:tc>
        <w:tc>
          <w:tcPr>
            <w:tcW w:w="580" w:type="dxa"/>
            <w:vAlign w:val="center"/>
          </w:tcPr>
          <w:p>
            <w:pPr>
              <w:pStyle w:val="0"/>
              <w:jc w:val="center"/>
              <w:rPr>
                <w:rFonts w:hint="default"/>
                <w:color w:val="auto"/>
                <w:sz w:val="24"/>
              </w:rPr>
            </w:pPr>
            <w:sdt>
              <w:sdtPr>
                <w:rPr>
                  <w:rFonts w:hint="default"/>
                  <w:color w:val="auto"/>
                  <w:sz w:val="24"/>
                </w:rPr>
                <w:id w:val="-136743987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3810258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34737206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2005"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貸付金、借入金等の経常的な取引以外の取引によって発生した債権債務について、貸借対照表日の翌日から起算して１年以内に入金又は支払の期限が到来するものは、流動資産又は流動負債に、入金又は支払の期限が１年を超えて到来するものについては、固定資産又は固定負債に計上しているか。</w:t>
            </w:r>
          </w:p>
          <w:p>
            <w:pPr>
              <w:pStyle w:val="0"/>
              <w:rPr>
                <w:rFonts w:hint="default" w:ascii="ＭＳ 明朝" w:hAnsi="ＭＳ 明朝" w:eastAsia="ＭＳ 明朝"/>
                <w:color w:val="auto"/>
                <w:sz w:val="20"/>
              </w:rPr>
            </w:pP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・計算書類</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・借入金台帳</w:t>
            </w:r>
          </w:p>
          <w:p>
            <w:pPr>
              <w:pStyle w:val="0"/>
              <w:rPr>
                <w:rFonts w:hint="default" w:ascii="ＭＳ 明朝" w:hAnsi="ＭＳ 明朝" w:eastAsia="ＭＳ 明朝"/>
                <w:color w:val="auto"/>
              </w:rPr>
            </w:pPr>
            <w:r>
              <w:rPr>
                <w:rFonts w:hint="eastAsia" w:ascii="ＭＳ 明朝" w:hAnsi="ＭＳ 明朝" w:eastAsia="ＭＳ 明朝"/>
                <w:color w:val="auto"/>
              </w:rPr>
              <w:t>・貸付金台帳</w:t>
            </w:r>
          </w:p>
          <w:p>
            <w:pPr>
              <w:pStyle w:val="0"/>
              <w:rPr>
                <w:rFonts w:hint="default" w:ascii="ＭＳ 明朝" w:hAnsi="ＭＳ 明朝" w:eastAsia="ＭＳ 明朝"/>
                <w:color w:val="auto"/>
              </w:rPr>
            </w:pPr>
            <w:r>
              <w:rPr>
                <w:rFonts w:hint="eastAsia" w:ascii="ＭＳ 明朝" w:hAnsi="ＭＳ 明朝" w:eastAsia="ＭＳ 明朝"/>
                <w:color w:val="auto"/>
              </w:rPr>
              <w:t>・リース資産台帳</w:t>
            </w:r>
          </w:p>
        </w:tc>
        <w:tc>
          <w:tcPr>
            <w:tcW w:w="580" w:type="dxa"/>
            <w:vAlign w:val="center"/>
          </w:tcPr>
          <w:p>
            <w:pPr>
              <w:pStyle w:val="0"/>
              <w:jc w:val="center"/>
              <w:rPr>
                <w:rFonts w:hint="default"/>
                <w:color w:val="auto"/>
                <w:sz w:val="24"/>
              </w:rPr>
            </w:pPr>
            <w:sdt>
              <w:sdtPr>
                <w:rPr>
                  <w:rFonts w:hint="default"/>
                  <w:color w:val="auto"/>
                  <w:sz w:val="24"/>
                </w:rPr>
                <w:id w:val="-139018109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79559466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47321858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会計処理</w:t>
            </w:r>
          </w:p>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の基準</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資産の額は、原則として、取得価額（受贈又は交換によって取得した資産については、その取得時における公正な評価額）を計上しているか。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・各資産管理台帳</w:t>
            </w:r>
          </w:p>
        </w:tc>
        <w:tc>
          <w:tcPr>
            <w:tcW w:w="580" w:type="dxa"/>
            <w:vAlign w:val="center"/>
          </w:tcPr>
          <w:p>
            <w:pPr>
              <w:pStyle w:val="0"/>
              <w:jc w:val="center"/>
              <w:rPr>
                <w:rFonts w:hint="default"/>
                <w:color w:val="auto"/>
                <w:sz w:val="24"/>
              </w:rPr>
            </w:pPr>
            <w:sdt>
              <w:sdtPr>
                <w:rPr>
                  <w:rFonts w:hint="default"/>
                  <w:color w:val="auto"/>
                  <w:sz w:val="24"/>
                </w:rPr>
                <w:id w:val="-132758665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68624889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負債のうち、債務については、原則として、債務の総額を計上しているか。（法人が相手方に対して有する債権との相殺処理等を行っていないか。）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・各負債管理台帳</w:t>
            </w:r>
          </w:p>
        </w:tc>
        <w:tc>
          <w:tcPr>
            <w:tcW w:w="580" w:type="dxa"/>
            <w:vAlign w:val="center"/>
          </w:tcPr>
          <w:p>
            <w:pPr>
              <w:pStyle w:val="0"/>
              <w:jc w:val="center"/>
              <w:rPr>
                <w:rFonts w:hint="default"/>
                <w:color w:val="auto"/>
                <w:sz w:val="24"/>
              </w:rPr>
            </w:pPr>
            <w:sdt>
              <w:sdtPr>
                <w:rPr>
                  <w:rFonts w:hint="default"/>
                  <w:color w:val="auto"/>
                  <w:sz w:val="24"/>
                </w:rPr>
                <w:id w:val="8392797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98875830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収益は、原則として、物品の販売又はサービスの提供等を行った時に、費用は、原則として、費用の発生原因となる取引が発生した時又はサービスの提供を受けた時に計上しているか。（発生主義）</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tc>
        <w:tc>
          <w:tcPr>
            <w:tcW w:w="580" w:type="dxa"/>
            <w:vAlign w:val="center"/>
          </w:tcPr>
          <w:p>
            <w:pPr>
              <w:pStyle w:val="0"/>
              <w:jc w:val="center"/>
              <w:rPr>
                <w:rFonts w:hint="default"/>
                <w:color w:val="auto"/>
                <w:sz w:val="24"/>
              </w:rPr>
            </w:pPr>
            <w:sdt>
              <w:sdtPr>
                <w:rPr>
                  <w:rFonts w:hint="default"/>
                  <w:color w:val="auto"/>
                  <w:sz w:val="24"/>
                </w:rPr>
                <w:id w:val="161856180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96417653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収益とこれに関連する費用は、両者を対応させて期間損益の計算を行っているか。（行っていいない収益と費用が広範囲にわたり、かつ、金銭的に重要な場合）</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・計算書類</w:t>
            </w:r>
          </w:p>
        </w:tc>
        <w:tc>
          <w:tcPr>
            <w:tcW w:w="580" w:type="dxa"/>
            <w:vAlign w:val="center"/>
          </w:tcPr>
          <w:p>
            <w:pPr>
              <w:pStyle w:val="0"/>
              <w:jc w:val="center"/>
              <w:rPr>
                <w:rFonts w:hint="default"/>
                <w:color w:val="auto"/>
                <w:sz w:val="24"/>
              </w:rPr>
            </w:pPr>
            <w:sdt>
              <w:sdtPr>
                <w:rPr>
                  <w:rFonts w:hint="default"/>
                  <w:color w:val="auto"/>
                  <w:sz w:val="24"/>
                </w:rPr>
                <w:id w:val="157284543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38532983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38532983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複数の施設及び事業を経営する場合に、資金収支計算書及び事業活動計算書における共通の支出（費用）及び収入（収益）について、合理的な基準を定め各会計区分に配分しているか。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80" w:type="dxa"/>
            <w:vAlign w:val="center"/>
          </w:tcPr>
          <w:p>
            <w:pPr>
              <w:pStyle w:val="0"/>
              <w:jc w:val="center"/>
              <w:rPr>
                <w:rFonts w:hint="default"/>
                <w:color w:val="auto"/>
                <w:sz w:val="24"/>
              </w:rPr>
            </w:pPr>
            <w:sdt>
              <w:sdtPr>
                <w:rPr>
                  <w:rFonts w:hint="default"/>
                  <w:color w:val="auto"/>
                  <w:sz w:val="24"/>
                </w:rPr>
                <w:id w:val="177505312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7728610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76982455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資金を受け払いする会計年度と収益費用が発生する会計年度が異なる経過勘定の対象となる勘定科目がある場合に、当該収益又は費用は、帰属すべき会計年度に適正に計上されているか。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tc>
        <w:tc>
          <w:tcPr>
            <w:tcW w:w="580" w:type="dxa"/>
            <w:vAlign w:val="center"/>
          </w:tcPr>
          <w:p>
            <w:pPr>
              <w:pStyle w:val="0"/>
              <w:jc w:val="center"/>
              <w:rPr>
                <w:rFonts w:hint="default"/>
                <w:color w:val="auto"/>
                <w:sz w:val="24"/>
              </w:rPr>
            </w:pPr>
            <w:sdt>
              <w:sdtPr>
                <w:rPr>
                  <w:rFonts w:hint="default"/>
                  <w:color w:val="auto"/>
                  <w:sz w:val="24"/>
                </w:rPr>
                <w:id w:val="-43290361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84131017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21463674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restart"/>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auto"/>
                <w:sz w:val="20"/>
              </w:rPr>
              <w:t>会計帳簿</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会計帳簿の主要簿（総勘定元帳、仕訳日記帳）を拠点区分ごとに作成し、事務所に備え置いているか。</w:t>
            </w:r>
          </w:p>
          <w:p>
            <w:pPr>
              <w:pStyle w:val="0"/>
              <w:rPr>
                <w:rFonts w:hint="default" w:ascii="ＭＳ 明朝" w:hAnsi="ＭＳ 明朝" w:eastAsia="ＭＳ 明朝"/>
                <w:color w:val="auto"/>
                <w:sz w:val="20"/>
              </w:rPr>
            </w:pP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tc>
        <w:tc>
          <w:tcPr>
            <w:tcW w:w="580" w:type="dxa"/>
            <w:vAlign w:val="center"/>
          </w:tcPr>
          <w:p>
            <w:pPr>
              <w:pStyle w:val="0"/>
              <w:jc w:val="center"/>
              <w:rPr>
                <w:rFonts w:hint="default"/>
                <w:color w:val="auto"/>
                <w:sz w:val="24"/>
              </w:rPr>
            </w:pPr>
            <w:sdt>
              <w:sdtPr>
                <w:rPr>
                  <w:rFonts w:hint="default"/>
                  <w:color w:val="auto"/>
                  <w:sz w:val="24"/>
                </w:rPr>
                <w:id w:val="-198831287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4387525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continue"/>
            <w:textDirection w:val="tbRlV"/>
            <w:vAlign w:val="center"/>
          </w:tcPr>
          <w:p>
            <w:pPr>
              <w:pStyle w:val="0"/>
              <w:ind w:right="113"/>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必要に応じ会計帳簿の補助簿を作成しているか。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・固定資産管理台帳</w:t>
            </w:r>
          </w:p>
          <w:p>
            <w:pPr>
              <w:pStyle w:val="0"/>
              <w:rPr>
                <w:rFonts w:hint="default" w:ascii="ＭＳ 明朝" w:hAnsi="ＭＳ 明朝" w:eastAsia="ＭＳ 明朝"/>
                <w:color w:val="auto"/>
              </w:rPr>
            </w:pPr>
            <w:r>
              <w:rPr>
                <w:rFonts w:hint="eastAsia" w:ascii="ＭＳ 明朝" w:hAnsi="ＭＳ 明朝" w:eastAsia="ＭＳ 明朝"/>
                <w:color w:val="auto"/>
              </w:rPr>
              <w:t>・現金出納帳</w:t>
            </w:r>
          </w:p>
          <w:p>
            <w:pPr>
              <w:pStyle w:val="0"/>
              <w:rPr>
                <w:rFonts w:hint="default" w:ascii="ＭＳ 明朝" w:hAnsi="ＭＳ 明朝" w:eastAsia="ＭＳ 明朝"/>
                <w:color w:val="FF0000"/>
              </w:rPr>
            </w:pPr>
            <w:r>
              <w:rPr>
                <w:rFonts w:hint="eastAsia" w:ascii="ＭＳ 明朝" w:hAnsi="ＭＳ 明朝" w:eastAsia="ＭＳ 明朝"/>
                <w:color w:val="auto"/>
              </w:rPr>
              <w:t>・上記以外の補助簿</w:t>
            </w:r>
          </w:p>
        </w:tc>
        <w:tc>
          <w:tcPr>
            <w:tcW w:w="580" w:type="dxa"/>
            <w:vAlign w:val="center"/>
          </w:tcPr>
          <w:p>
            <w:pPr>
              <w:pStyle w:val="0"/>
              <w:jc w:val="center"/>
              <w:rPr>
                <w:rFonts w:hint="default"/>
                <w:color w:val="auto"/>
                <w:sz w:val="24"/>
              </w:rPr>
            </w:pPr>
            <w:sdt>
              <w:sdtPr>
                <w:rPr>
                  <w:rFonts w:hint="default"/>
                  <w:color w:val="auto"/>
                  <w:sz w:val="24"/>
                </w:rPr>
                <w:id w:val="-135649859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26391335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26391335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会計帳簿を、正規の簿記の原則に従って、適時に正確に作成しているか。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・総勘定元帳（定期、随時監査時は残高試算表）</w:t>
            </w:r>
          </w:p>
        </w:tc>
        <w:tc>
          <w:tcPr>
            <w:tcW w:w="580" w:type="dxa"/>
            <w:vAlign w:val="center"/>
          </w:tcPr>
          <w:p>
            <w:pPr>
              <w:pStyle w:val="0"/>
              <w:jc w:val="center"/>
              <w:rPr>
                <w:rFonts w:hint="default"/>
                <w:color w:val="auto"/>
                <w:sz w:val="24"/>
              </w:rPr>
            </w:pPr>
            <w:sdt>
              <w:sdtPr>
                <w:rPr>
                  <w:rFonts w:hint="default"/>
                  <w:color w:val="auto"/>
                  <w:sz w:val="24"/>
                </w:rPr>
                <w:id w:val="-116069107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79458900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会計帳簿を、その閉鎖の時から１０年間保管しているか。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・各年度の会計帳簿</w:t>
            </w:r>
          </w:p>
          <w:p>
            <w:pPr>
              <w:pStyle w:val="0"/>
              <w:rPr>
                <w:rFonts w:hint="default" w:ascii="ＭＳ 明朝" w:hAnsi="ＭＳ 明朝" w:eastAsia="ＭＳ 明朝"/>
                <w:color w:val="auto"/>
              </w:rPr>
            </w:pPr>
          </w:p>
        </w:tc>
        <w:tc>
          <w:tcPr>
            <w:tcW w:w="580" w:type="dxa"/>
            <w:vAlign w:val="center"/>
          </w:tcPr>
          <w:p>
            <w:pPr>
              <w:pStyle w:val="0"/>
              <w:jc w:val="center"/>
              <w:rPr>
                <w:rFonts w:hint="default"/>
                <w:color w:val="auto"/>
                <w:sz w:val="24"/>
              </w:rPr>
            </w:pPr>
            <w:sdt>
              <w:sdtPr>
                <w:rPr>
                  <w:rFonts w:hint="default"/>
                  <w:color w:val="auto"/>
                  <w:sz w:val="24"/>
                </w:rPr>
                <w:id w:val="186639280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39928396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auto"/>
                <w:sz w:val="20"/>
              </w:rPr>
              <w:t>計算書類</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計算書類における各勘定科目の金額と会計帳簿の主要簿に計上された金額は一致しているか。</w:t>
            </w:r>
          </w:p>
          <w:p>
            <w:pPr>
              <w:pStyle w:val="0"/>
              <w:rPr>
                <w:rFonts w:hint="default" w:ascii="ＭＳ 明朝" w:hAnsi="ＭＳ 明朝" w:eastAsia="ＭＳ 明朝"/>
                <w:strike w:val="1"/>
                <w:color w:val="auto"/>
                <w:sz w:val="20"/>
              </w:rPr>
            </w:pP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・計算書類</w:t>
            </w:r>
          </w:p>
        </w:tc>
        <w:tc>
          <w:tcPr>
            <w:tcW w:w="580" w:type="dxa"/>
            <w:vAlign w:val="center"/>
          </w:tcPr>
          <w:p>
            <w:pPr>
              <w:pStyle w:val="0"/>
              <w:jc w:val="center"/>
              <w:rPr>
                <w:rFonts w:hint="default"/>
                <w:color w:val="auto"/>
                <w:sz w:val="24"/>
              </w:rPr>
            </w:pPr>
            <w:sdt>
              <w:sdtPr>
                <w:rPr>
                  <w:rFonts w:hint="default"/>
                  <w:color w:val="auto"/>
                  <w:sz w:val="24"/>
                </w:rPr>
                <w:id w:val="-129752145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56310343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restart"/>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auto"/>
                <w:sz w:val="20"/>
              </w:rPr>
              <w:t>計算書類</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内部取引がある場合に、計算書類において相殺処理を適正に行っているか。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・計算書類</w:t>
            </w:r>
          </w:p>
          <w:p>
            <w:pPr>
              <w:pStyle w:val="0"/>
              <w:rPr>
                <w:rFonts w:hint="default" w:ascii="ＭＳ 明朝" w:hAnsi="ＭＳ 明朝" w:eastAsia="ＭＳ 明朝"/>
                <w:color w:val="auto"/>
              </w:rPr>
            </w:pPr>
            <w:r>
              <w:rPr>
                <w:rFonts w:hint="eastAsia" w:ascii="ＭＳ 明朝" w:hAnsi="ＭＳ 明朝" w:eastAsia="ＭＳ 明朝"/>
                <w:color w:val="auto"/>
              </w:rPr>
              <w:t>・会計伝票</w:t>
            </w:r>
          </w:p>
        </w:tc>
        <w:tc>
          <w:tcPr>
            <w:tcW w:w="580" w:type="dxa"/>
            <w:vAlign w:val="center"/>
          </w:tcPr>
          <w:p>
            <w:pPr>
              <w:pStyle w:val="0"/>
              <w:jc w:val="center"/>
              <w:rPr>
                <w:rFonts w:hint="default"/>
                <w:color w:val="auto"/>
                <w:sz w:val="24"/>
              </w:rPr>
            </w:pPr>
            <w:sdt>
              <w:sdtPr>
                <w:rPr>
                  <w:rFonts w:hint="default"/>
                  <w:color w:val="auto"/>
                  <w:sz w:val="24"/>
                </w:rPr>
                <w:id w:val="153136766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96859138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86925892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計算書類（法人全体及び拠点区分）の注記に、注記すべき事項をすべて記載しているか。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・計算書類</w:t>
            </w:r>
          </w:p>
          <w:p>
            <w:pPr>
              <w:pStyle w:val="0"/>
              <w:rPr>
                <w:rFonts w:hint="default" w:ascii="ＭＳ 明朝" w:hAnsi="ＭＳ 明朝" w:eastAsia="ＭＳ 明朝"/>
                <w:strike w:val="1"/>
                <w:color w:val="auto"/>
              </w:rPr>
            </w:pPr>
            <w:r>
              <w:rPr>
                <w:rFonts w:hint="eastAsia" w:ascii="ＭＳ 明朝" w:hAnsi="ＭＳ 明朝" w:eastAsia="ＭＳ 明朝"/>
                <w:color w:val="auto"/>
              </w:rPr>
              <w:t>・注記</w:t>
            </w:r>
          </w:p>
        </w:tc>
        <w:tc>
          <w:tcPr>
            <w:tcW w:w="580" w:type="dxa"/>
            <w:vAlign w:val="center"/>
          </w:tcPr>
          <w:p>
            <w:pPr>
              <w:pStyle w:val="0"/>
              <w:jc w:val="center"/>
              <w:rPr>
                <w:rFonts w:hint="default"/>
                <w:color w:val="auto"/>
                <w:sz w:val="24"/>
              </w:rPr>
            </w:pPr>
            <w:sdt>
              <w:sdtPr>
                <w:rPr>
                  <w:rFonts w:hint="default"/>
                  <w:color w:val="auto"/>
                  <w:sz w:val="24"/>
                </w:rPr>
                <w:id w:val="-147012693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47425372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注記の記載項目に記載する事項がない場合に、記載を省略することができない項目について、項目の記載欄に「該当なし」と記載しているか。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・計算書類</w:t>
            </w:r>
          </w:p>
          <w:p>
            <w:pPr>
              <w:pStyle w:val="0"/>
              <w:rPr>
                <w:rFonts w:hint="default" w:ascii="ＭＳ 明朝" w:hAnsi="ＭＳ 明朝" w:eastAsia="ＭＳ 明朝"/>
                <w:color w:val="auto"/>
              </w:rPr>
            </w:pPr>
            <w:r>
              <w:rPr>
                <w:rFonts w:hint="eastAsia" w:ascii="ＭＳ 明朝" w:hAnsi="ＭＳ 明朝" w:eastAsia="ＭＳ 明朝"/>
                <w:color w:val="auto"/>
              </w:rPr>
              <w:t>・注記</w:t>
            </w:r>
          </w:p>
        </w:tc>
        <w:tc>
          <w:tcPr>
            <w:tcW w:w="580" w:type="dxa"/>
            <w:vAlign w:val="center"/>
          </w:tcPr>
          <w:p>
            <w:pPr>
              <w:pStyle w:val="0"/>
              <w:jc w:val="center"/>
              <w:rPr>
                <w:rFonts w:hint="default"/>
                <w:color w:val="auto"/>
                <w:sz w:val="24"/>
              </w:rPr>
            </w:pPr>
            <w:sdt>
              <w:sdtPr>
                <w:rPr>
                  <w:rFonts w:hint="default"/>
                  <w:color w:val="auto"/>
                  <w:sz w:val="24"/>
                </w:rPr>
                <w:id w:val="-9671984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75451630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61048482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計算書類において、注記事項に該当しない赤字等の経営に影響を及ぼす事項は生じていないか。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・計算書類</w:t>
            </w:r>
          </w:p>
          <w:p>
            <w:pPr>
              <w:pStyle w:val="0"/>
              <w:rPr>
                <w:rFonts w:hint="default" w:ascii="ＭＳ 明朝" w:hAnsi="ＭＳ 明朝" w:eastAsia="ＭＳ 明朝"/>
                <w:color w:val="auto"/>
              </w:rPr>
            </w:pPr>
            <w:r>
              <w:rPr>
                <w:rFonts w:hint="eastAsia" w:ascii="ＭＳ 明朝" w:hAnsi="ＭＳ 明朝" w:eastAsia="ＭＳ 明朝"/>
                <w:color w:val="auto"/>
              </w:rPr>
              <w:t>・注記</w:t>
            </w:r>
          </w:p>
        </w:tc>
        <w:tc>
          <w:tcPr>
            <w:tcW w:w="580" w:type="dxa"/>
            <w:vAlign w:val="center"/>
          </w:tcPr>
          <w:p>
            <w:pPr>
              <w:pStyle w:val="0"/>
              <w:jc w:val="center"/>
              <w:rPr>
                <w:rFonts w:hint="default"/>
                <w:color w:val="auto"/>
                <w:sz w:val="24"/>
              </w:rPr>
            </w:pPr>
            <w:sdt>
              <w:sdtPr>
                <w:rPr>
                  <w:rFonts w:hint="default"/>
                  <w:color w:val="auto"/>
                  <w:sz w:val="24"/>
                </w:rPr>
                <w:id w:val="150478486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40791521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58357186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699"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必要な計算書類の附属明細書を作成しているか。</w:t>
            </w:r>
          </w:p>
        </w:tc>
        <w:tc>
          <w:tcPr>
            <w:tcW w:w="1910" w:type="dxa"/>
            <w:vMerge w:val="restart"/>
            <w:vAlign w:val="top"/>
          </w:tcPr>
          <w:p>
            <w:pPr>
              <w:pStyle w:val="0"/>
              <w:rPr>
                <w:rFonts w:hint="default" w:ascii="ＭＳ 明朝" w:hAnsi="ＭＳ 明朝" w:eastAsia="ＭＳ 明朝"/>
                <w:color w:val="auto"/>
              </w:rPr>
            </w:pPr>
            <w:r>
              <w:rPr>
                <w:rFonts w:hint="eastAsia" w:ascii="ＭＳ 明朝" w:hAnsi="ＭＳ 明朝" w:eastAsia="ＭＳ 明朝"/>
                <w:color w:val="auto"/>
              </w:rPr>
              <w:t>・定款</w:t>
            </w:r>
          </w:p>
          <w:p>
            <w:pPr>
              <w:pStyle w:val="0"/>
              <w:rPr>
                <w:rFonts w:hint="default" w:ascii="ＭＳ 明朝" w:hAnsi="ＭＳ 明朝" w:eastAsia="ＭＳ 明朝"/>
                <w:color w:val="auto"/>
              </w:rPr>
            </w:pPr>
            <w:r>
              <w:rPr>
                <w:rFonts w:hint="eastAsia" w:ascii="ＭＳ 明朝" w:hAnsi="ＭＳ 明朝" w:eastAsia="ＭＳ 明朝"/>
                <w:color w:val="auto"/>
              </w:rPr>
              <w:t>・計算書類</w:t>
            </w:r>
          </w:p>
          <w:p>
            <w:pPr>
              <w:pStyle w:val="0"/>
              <w:rPr>
                <w:rFonts w:hint="default" w:ascii="ＭＳ 明朝" w:hAnsi="ＭＳ 明朝" w:eastAsia="ＭＳ 明朝"/>
                <w:color w:val="auto"/>
              </w:rPr>
            </w:pPr>
            <w:r>
              <w:rPr>
                <w:rFonts w:hint="eastAsia" w:ascii="ＭＳ 明朝" w:hAnsi="ＭＳ 明朝" w:eastAsia="ＭＳ 明朝"/>
                <w:color w:val="auto"/>
              </w:rPr>
              <w:t>・附属明細書</w:t>
            </w:r>
          </w:p>
        </w:tc>
        <w:tc>
          <w:tcPr>
            <w:tcW w:w="580" w:type="dxa"/>
            <w:vAlign w:val="center"/>
          </w:tcPr>
          <w:p>
            <w:pPr>
              <w:pStyle w:val="0"/>
              <w:jc w:val="center"/>
              <w:rPr>
                <w:rFonts w:hint="default"/>
                <w:color w:val="auto"/>
                <w:sz w:val="24"/>
              </w:rPr>
            </w:pPr>
            <w:sdt>
              <w:sdtPr>
                <w:rPr>
                  <w:rFonts w:hint="default"/>
                  <w:color w:val="auto"/>
                  <w:sz w:val="24"/>
                </w:rPr>
                <w:id w:val="212310838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63873039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210764896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FF0000"/>
                <w:sz w:val="20"/>
              </w:rPr>
            </w:pPr>
            <w:r>
              <w:rPr>
                <w:rFonts w:hint="eastAsia" w:ascii="ＭＳ 明朝" w:hAnsi="ＭＳ 明朝" w:eastAsia="ＭＳ 明朝"/>
                <w:color w:val="auto"/>
                <w:sz w:val="20"/>
              </w:rPr>
              <w:t>附属明細書の勘定科目の金額は、計算書類の勘定科目の金額と一致しているか。</w:t>
            </w:r>
          </w:p>
        </w:tc>
        <w:tc>
          <w:tcPr>
            <w:tcW w:w="1910" w:type="dxa"/>
            <w:vMerge w:val="continue"/>
            <w:vAlign w:val="top"/>
          </w:tcPr>
          <w:p>
            <w:pPr>
              <w:pStyle w:val="0"/>
              <w:rPr>
                <w:rFonts w:hint="default" w:ascii="ＭＳ 明朝" w:hAnsi="ＭＳ 明朝" w:eastAsia="ＭＳ 明朝"/>
              </w:rPr>
            </w:pPr>
          </w:p>
        </w:tc>
        <w:tc>
          <w:tcPr>
            <w:tcW w:w="580" w:type="dxa"/>
            <w:vAlign w:val="center"/>
          </w:tcPr>
          <w:p>
            <w:pPr>
              <w:pStyle w:val="0"/>
              <w:jc w:val="center"/>
              <w:rPr>
                <w:rFonts w:hint="default"/>
                <w:color w:val="auto"/>
                <w:sz w:val="24"/>
              </w:rPr>
            </w:pPr>
            <w:sdt>
              <w:sdtPr>
                <w:rPr>
                  <w:rFonts w:hint="default"/>
                  <w:color w:val="auto"/>
                  <w:sz w:val="24"/>
                </w:rPr>
                <w:id w:val="122748910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86952279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86952279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貸借対照表に計上された資産は、すべて現存しているか。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・貸借対照表</w:t>
            </w:r>
          </w:p>
          <w:p>
            <w:pPr>
              <w:pStyle w:val="0"/>
              <w:rPr>
                <w:rFonts w:hint="default" w:ascii="ＭＳ 明朝" w:hAnsi="ＭＳ 明朝" w:eastAsia="ＭＳ 明朝"/>
                <w:color w:val="auto"/>
              </w:rPr>
            </w:pPr>
            <w:r>
              <w:rPr>
                <w:rFonts w:hint="eastAsia" w:ascii="ＭＳ 明朝" w:hAnsi="ＭＳ 明朝" w:eastAsia="ＭＳ 明朝"/>
                <w:color w:val="auto"/>
              </w:rPr>
              <w:t>・補助簿</w:t>
            </w:r>
          </w:p>
          <w:p>
            <w:pPr>
              <w:pStyle w:val="0"/>
              <w:rPr>
                <w:rFonts w:hint="default" w:ascii="ＭＳ 明朝" w:hAnsi="ＭＳ 明朝" w:eastAsia="ＭＳ 明朝"/>
                <w:color w:val="auto"/>
              </w:rPr>
            </w:pPr>
            <w:r>
              <w:rPr>
                <w:rFonts w:hint="eastAsia" w:ascii="ＭＳ 明朝" w:hAnsi="ＭＳ 明朝" w:eastAsia="ＭＳ 明朝"/>
                <w:color w:val="auto"/>
              </w:rPr>
              <w:t>・預貯金通帳等</w:t>
            </w:r>
          </w:p>
        </w:tc>
        <w:tc>
          <w:tcPr>
            <w:tcW w:w="580" w:type="dxa"/>
            <w:vAlign w:val="center"/>
          </w:tcPr>
          <w:p>
            <w:pPr>
              <w:pStyle w:val="0"/>
              <w:jc w:val="center"/>
              <w:rPr>
                <w:rFonts w:hint="default"/>
                <w:color w:val="auto"/>
                <w:sz w:val="24"/>
              </w:rPr>
            </w:pPr>
            <w:sdt>
              <w:sdtPr>
                <w:rPr>
                  <w:rFonts w:hint="default"/>
                  <w:color w:val="auto"/>
                  <w:sz w:val="24"/>
                </w:rPr>
                <w:id w:val="-79498309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9002704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200967412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貸借対照表に計上した資産について、時価評価を適正に行っているか。</w:t>
            </w:r>
          </w:p>
          <w:p>
            <w:pPr>
              <w:pStyle w:val="0"/>
              <w:rPr>
                <w:rFonts w:hint="default" w:ascii="ＭＳ 明朝" w:hAnsi="ＭＳ 明朝" w:eastAsia="ＭＳ 明朝"/>
                <w:color w:val="auto"/>
                <w:sz w:val="20"/>
              </w:rPr>
            </w:pP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・貸借対照表</w:t>
            </w:r>
          </w:p>
          <w:p>
            <w:pPr>
              <w:pStyle w:val="0"/>
              <w:rPr>
                <w:rFonts w:hint="default" w:ascii="ＭＳ 明朝" w:hAnsi="ＭＳ 明朝" w:eastAsia="ＭＳ 明朝"/>
                <w:color w:val="auto"/>
              </w:rPr>
            </w:pPr>
            <w:r>
              <w:rPr>
                <w:rFonts w:hint="eastAsia" w:ascii="ＭＳ 明朝" w:hAnsi="ＭＳ 明朝" w:eastAsia="ＭＳ 明朝"/>
                <w:color w:val="auto"/>
              </w:rPr>
              <w:t>・必要性の判定資料</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・固定資産管理台帳</w:t>
            </w:r>
          </w:p>
        </w:tc>
        <w:tc>
          <w:tcPr>
            <w:tcW w:w="580" w:type="dxa"/>
            <w:vAlign w:val="center"/>
          </w:tcPr>
          <w:p>
            <w:pPr>
              <w:pStyle w:val="0"/>
              <w:jc w:val="center"/>
              <w:rPr>
                <w:rFonts w:hint="default"/>
                <w:color w:val="auto"/>
                <w:sz w:val="24"/>
              </w:rPr>
            </w:pPr>
            <w:sdt>
              <w:sdtPr>
                <w:rPr>
                  <w:rFonts w:hint="default"/>
                  <w:color w:val="auto"/>
                  <w:sz w:val="24"/>
                </w:rPr>
                <w:id w:val="-139025732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30358740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22514709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1130"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貸借対照表において、未収金、前払金、未払金、前受金等の経常的な取引によって発生した債権債務は、流動資産又は流動負債として計上しているか。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・貸借対照表</w:t>
            </w:r>
          </w:p>
        </w:tc>
        <w:tc>
          <w:tcPr>
            <w:tcW w:w="580" w:type="dxa"/>
            <w:vAlign w:val="center"/>
          </w:tcPr>
          <w:p>
            <w:pPr>
              <w:pStyle w:val="0"/>
              <w:jc w:val="center"/>
              <w:rPr>
                <w:rFonts w:hint="default"/>
                <w:color w:val="auto"/>
                <w:sz w:val="24"/>
              </w:rPr>
            </w:pPr>
            <w:sdt>
              <w:sdtPr>
                <w:rPr>
                  <w:rFonts w:hint="default"/>
                  <w:color w:val="auto"/>
                  <w:sz w:val="24"/>
                </w:rPr>
                <w:id w:val="-185218075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9140167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699"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貸借対照表に記載された基本財産（有形固定資産、投資有価証券及び定期預金）及びその他の固定資産（有形固定資産及び無形固定資産）と、固定資産管理台帳（有価証券管理台帳、リース資産管理台帳、無形固定資産管理台帳等を含む）に記載された計上額は一致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・固定資産管理台帳</w:t>
            </w:r>
          </w:p>
          <w:p>
            <w:pPr>
              <w:pStyle w:val="0"/>
              <w:ind w:left="163" w:hanging="163" w:hangingChars="100"/>
              <w:rPr>
                <w:rFonts w:hint="default" w:ascii="ＭＳ 明朝" w:hAnsi="ＭＳ 明朝" w:eastAsia="ＭＳ 明朝"/>
                <w:color w:val="auto"/>
              </w:rPr>
            </w:pPr>
            <w:r>
              <w:rPr>
                <w:rFonts w:hint="eastAsia" w:ascii="ＭＳ 明朝" w:hAnsi="ＭＳ 明朝" w:eastAsia="ＭＳ 明朝"/>
                <w:color w:val="auto"/>
              </w:rPr>
              <w:t>・上記以外の固定資産関係の補助簿</w:t>
            </w:r>
          </w:p>
        </w:tc>
        <w:tc>
          <w:tcPr>
            <w:tcW w:w="580" w:type="dxa"/>
            <w:vAlign w:val="center"/>
          </w:tcPr>
          <w:p>
            <w:pPr>
              <w:pStyle w:val="0"/>
              <w:jc w:val="center"/>
              <w:rPr>
                <w:rFonts w:hint="default"/>
                <w:color w:val="auto"/>
                <w:sz w:val="24"/>
              </w:rPr>
            </w:pPr>
            <w:sdt>
              <w:sdtPr>
                <w:rPr>
                  <w:rFonts w:hint="default"/>
                  <w:color w:val="auto"/>
                  <w:sz w:val="24"/>
                </w:rPr>
                <w:id w:val="43896223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87454170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699"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貸借対照表の支払資金残高と、資金収支計算書の当期末支払資金残高は一致しているか。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・資金収支計算書</w:t>
            </w:r>
          </w:p>
          <w:p>
            <w:pPr>
              <w:pStyle w:val="0"/>
              <w:rPr>
                <w:rFonts w:hint="default" w:ascii="ＭＳ 明朝" w:hAnsi="ＭＳ 明朝" w:eastAsia="ＭＳ 明朝"/>
                <w:color w:val="auto"/>
              </w:rPr>
            </w:pPr>
            <w:r>
              <w:rPr>
                <w:rFonts w:hint="eastAsia" w:ascii="ＭＳ 明朝" w:hAnsi="ＭＳ 明朝" w:eastAsia="ＭＳ 明朝"/>
                <w:color w:val="auto"/>
              </w:rPr>
              <w:t>・貸借対照表</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80" w:type="dxa"/>
            <w:vAlign w:val="center"/>
          </w:tcPr>
          <w:p>
            <w:pPr>
              <w:pStyle w:val="0"/>
              <w:jc w:val="center"/>
              <w:rPr>
                <w:rFonts w:hint="default"/>
                <w:color w:val="auto"/>
                <w:sz w:val="24"/>
              </w:rPr>
            </w:pPr>
            <w:sdt>
              <w:sdtPr>
                <w:rPr>
                  <w:rFonts w:hint="default"/>
                  <w:color w:val="auto"/>
                  <w:sz w:val="24"/>
                </w:rPr>
                <w:id w:val="-175250874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89708434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699"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貸借対照表の次期繰越活動増減差額と、事業活動計算書の次期繰越活動増減差額は一致しているか。また、貸借対照表の（うち当期活動増減差額）と事業活動計算書の当期活動増減差額も一致しているか。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・事業活動計算書</w:t>
            </w:r>
          </w:p>
          <w:p>
            <w:pPr>
              <w:pStyle w:val="0"/>
              <w:rPr>
                <w:rFonts w:hint="default" w:ascii="ＭＳ 明朝" w:hAnsi="ＭＳ 明朝" w:eastAsia="ＭＳ 明朝"/>
                <w:color w:val="auto"/>
              </w:rPr>
            </w:pPr>
            <w:r>
              <w:rPr>
                <w:rFonts w:hint="eastAsia" w:ascii="ＭＳ 明朝" w:hAnsi="ＭＳ 明朝" w:eastAsia="ＭＳ 明朝"/>
                <w:color w:val="auto"/>
              </w:rPr>
              <w:t>・貸借対照表</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80" w:type="dxa"/>
            <w:vAlign w:val="center"/>
          </w:tcPr>
          <w:p>
            <w:pPr>
              <w:pStyle w:val="0"/>
              <w:jc w:val="center"/>
              <w:rPr>
                <w:rFonts w:hint="default"/>
                <w:color w:val="auto"/>
                <w:sz w:val="24"/>
              </w:rPr>
            </w:pPr>
            <w:sdt>
              <w:sdtPr>
                <w:rPr>
                  <w:rFonts w:hint="default"/>
                  <w:color w:val="auto"/>
                  <w:sz w:val="24"/>
                </w:rPr>
                <w:id w:val="2822995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25818504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699"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法人単位貸借対照表の純資産の部の額と、財産目録の差引純資産の額は一致しているか。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・法人単位貸借対照表</w:t>
            </w:r>
          </w:p>
          <w:p>
            <w:pPr>
              <w:pStyle w:val="0"/>
              <w:rPr>
                <w:rFonts w:hint="default" w:ascii="ＭＳ 明朝" w:hAnsi="ＭＳ 明朝" w:eastAsia="ＭＳ 明朝"/>
                <w:color w:val="auto"/>
              </w:rPr>
            </w:pPr>
            <w:r>
              <w:rPr>
                <w:rFonts w:hint="eastAsia" w:ascii="ＭＳ 明朝" w:hAnsi="ＭＳ 明朝" w:eastAsia="ＭＳ 明朝"/>
                <w:color w:val="auto"/>
              </w:rPr>
              <w:t>・財産目録</w:t>
            </w:r>
          </w:p>
        </w:tc>
        <w:tc>
          <w:tcPr>
            <w:tcW w:w="580" w:type="dxa"/>
            <w:vAlign w:val="center"/>
          </w:tcPr>
          <w:p>
            <w:pPr>
              <w:pStyle w:val="0"/>
              <w:jc w:val="center"/>
              <w:rPr>
                <w:rFonts w:hint="default"/>
                <w:color w:val="auto"/>
                <w:sz w:val="24"/>
              </w:rPr>
            </w:pPr>
            <w:sdt>
              <w:sdtPr>
                <w:rPr>
                  <w:rFonts w:hint="default"/>
                  <w:color w:val="auto"/>
                  <w:sz w:val="24"/>
                </w:rPr>
                <w:id w:val="-204705666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0392411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restart"/>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auto"/>
                <w:sz w:val="20"/>
              </w:rPr>
              <w:t>計算書類</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法人単位貸借対照表に計上された基本財産の勘定科目及び金額と、財産目録に基本財産として記載された事項及び金額は一致しているか。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・法人単位貸借対照表</w:t>
            </w:r>
          </w:p>
          <w:p>
            <w:pPr>
              <w:pStyle w:val="0"/>
              <w:rPr>
                <w:rFonts w:hint="default" w:ascii="ＭＳ 明朝" w:hAnsi="ＭＳ 明朝" w:eastAsia="ＭＳ 明朝"/>
                <w:color w:val="auto"/>
              </w:rPr>
            </w:pPr>
            <w:r>
              <w:rPr>
                <w:rFonts w:hint="eastAsia" w:ascii="ＭＳ 明朝" w:hAnsi="ＭＳ 明朝" w:eastAsia="ＭＳ 明朝"/>
                <w:color w:val="auto"/>
              </w:rPr>
              <w:t>・財産目録</w:t>
            </w:r>
          </w:p>
        </w:tc>
        <w:tc>
          <w:tcPr>
            <w:tcW w:w="580" w:type="dxa"/>
            <w:vAlign w:val="center"/>
          </w:tcPr>
          <w:p>
            <w:pPr>
              <w:pStyle w:val="0"/>
              <w:jc w:val="center"/>
              <w:rPr>
                <w:rFonts w:hint="default"/>
                <w:color w:val="auto"/>
                <w:sz w:val="24"/>
              </w:rPr>
            </w:pPr>
            <w:sdt>
              <w:sdtPr>
                <w:rPr>
                  <w:rFonts w:hint="default"/>
                  <w:color w:val="auto"/>
                  <w:sz w:val="24"/>
                </w:rPr>
                <w:id w:val="-168860351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17507654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continue"/>
            <w:textDirection w:val="tbRlV"/>
            <w:vAlign w:val="center"/>
          </w:tcPr>
          <w:p>
            <w:pPr>
              <w:pStyle w:val="0"/>
              <w:ind w:right="113"/>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財産目録は厚生労働省が定めた様式に従って作成しているか。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・財産目録</w:t>
            </w:r>
          </w:p>
        </w:tc>
        <w:tc>
          <w:tcPr>
            <w:tcW w:w="580" w:type="dxa"/>
            <w:vAlign w:val="center"/>
          </w:tcPr>
          <w:p>
            <w:pPr>
              <w:pStyle w:val="0"/>
              <w:jc w:val="center"/>
              <w:rPr>
                <w:rFonts w:hint="default"/>
                <w:color w:val="auto"/>
                <w:sz w:val="24"/>
              </w:rPr>
            </w:pPr>
            <w:sdt>
              <w:sdtPr>
                <w:rPr>
                  <w:rFonts w:hint="default"/>
                  <w:color w:val="auto"/>
                  <w:sz w:val="24"/>
                </w:rPr>
                <w:id w:val="-75304961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99809867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財産目録に記載された基本財産の内容と、定款に記載された基本財産の内容は一致しているか。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・定款</w:t>
            </w:r>
          </w:p>
          <w:p>
            <w:pPr>
              <w:pStyle w:val="0"/>
              <w:rPr>
                <w:rFonts w:hint="default" w:ascii="ＭＳ 明朝" w:hAnsi="ＭＳ 明朝" w:eastAsia="ＭＳ 明朝"/>
                <w:color w:val="auto"/>
              </w:rPr>
            </w:pPr>
            <w:r>
              <w:rPr>
                <w:rFonts w:hint="eastAsia" w:ascii="ＭＳ 明朝" w:hAnsi="ＭＳ 明朝" w:eastAsia="ＭＳ 明朝"/>
                <w:color w:val="auto"/>
              </w:rPr>
              <w:t>・財産目録</w:t>
            </w:r>
          </w:p>
        </w:tc>
        <w:tc>
          <w:tcPr>
            <w:tcW w:w="580" w:type="dxa"/>
            <w:vAlign w:val="center"/>
          </w:tcPr>
          <w:p>
            <w:pPr>
              <w:pStyle w:val="0"/>
              <w:jc w:val="center"/>
              <w:rPr>
                <w:rFonts w:hint="default"/>
                <w:color w:val="auto"/>
                <w:sz w:val="24"/>
              </w:rPr>
            </w:pPr>
            <w:sdt>
              <w:sdtPr>
                <w:rPr>
                  <w:rFonts w:hint="default"/>
                  <w:color w:val="auto"/>
                  <w:sz w:val="24"/>
                </w:rPr>
                <w:id w:val="73635774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34760210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restart"/>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auto"/>
                <w:sz w:val="20"/>
              </w:rPr>
              <w:t>現金</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現金を取り扱っている場合に、現金出納帳を作成しているか。また、小口現金制度を設けている場合に、小口現金出納帳を作成しているか。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・執行伺書等</w:t>
            </w:r>
          </w:p>
          <w:p>
            <w:pPr>
              <w:pStyle w:val="0"/>
              <w:rPr>
                <w:rFonts w:hint="default" w:ascii="ＭＳ 明朝" w:hAnsi="ＭＳ 明朝" w:eastAsia="ＭＳ 明朝"/>
                <w:color w:val="auto"/>
              </w:rPr>
            </w:pPr>
            <w:r>
              <w:rPr>
                <w:rFonts w:hint="eastAsia" w:ascii="ＭＳ 明朝" w:hAnsi="ＭＳ 明朝" w:eastAsia="ＭＳ 明朝"/>
                <w:color w:val="auto"/>
              </w:rPr>
              <w:t>・現金（小口現金）出納帳</w:t>
            </w:r>
          </w:p>
        </w:tc>
        <w:tc>
          <w:tcPr>
            <w:tcW w:w="580" w:type="dxa"/>
            <w:vAlign w:val="center"/>
          </w:tcPr>
          <w:p>
            <w:pPr>
              <w:pStyle w:val="0"/>
              <w:jc w:val="center"/>
              <w:rPr>
                <w:rFonts w:hint="default"/>
                <w:color w:val="auto"/>
                <w:sz w:val="24"/>
              </w:rPr>
            </w:pPr>
            <w:sdt>
              <w:sdtPr>
                <w:rPr>
                  <w:rFonts w:hint="default"/>
                  <w:color w:val="auto"/>
                  <w:sz w:val="24"/>
                </w:rPr>
                <w:id w:val="2194051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34061953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34061953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毎月末の総勘定元帳の現金の残高と、現金出納帳及び小口現金出納帳の残高の合計額が一致しているか。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・現金（小口現金）出納帳</w:t>
            </w:r>
          </w:p>
        </w:tc>
        <w:tc>
          <w:tcPr>
            <w:tcW w:w="580" w:type="dxa"/>
            <w:vAlign w:val="center"/>
          </w:tcPr>
          <w:p>
            <w:pPr>
              <w:pStyle w:val="0"/>
              <w:jc w:val="center"/>
              <w:rPr>
                <w:rFonts w:hint="default"/>
                <w:color w:val="auto"/>
                <w:sz w:val="24"/>
              </w:rPr>
            </w:pPr>
            <w:sdt>
              <w:sdtPr>
                <w:rPr>
                  <w:rFonts w:hint="default"/>
                  <w:color w:val="auto"/>
                  <w:sz w:val="24"/>
                </w:rPr>
                <w:id w:val="59845442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209615899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31291189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現金管理責任者（出納職員）及び小口現金取扱責任者は、現金について毎日の現金出納終了後、その残高と帳簿残高を照合しているか。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・現金小口現金出納帳</w:t>
            </w:r>
          </w:p>
        </w:tc>
        <w:tc>
          <w:tcPr>
            <w:tcW w:w="580" w:type="dxa"/>
            <w:vAlign w:val="center"/>
          </w:tcPr>
          <w:p>
            <w:pPr>
              <w:pStyle w:val="0"/>
              <w:jc w:val="center"/>
              <w:rPr>
                <w:rFonts w:hint="default"/>
                <w:color w:val="auto"/>
                <w:sz w:val="24"/>
              </w:rPr>
            </w:pPr>
            <w:sdt>
              <w:sdtPr>
                <w:rPr>
                  <w:rFonts w:hint="default"/>
                  <w:color w:val="auto"/>
                  <w:sz w:val="24"/>
                </w:rPr>
                <w:id w:val="-20507519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5738726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45561702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現金による収入及び支出（小口現金に係るものを除く）があった場合に、収受及び支払の都度、仕訳日記帳を作成しているか。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・現金出納帳</w:t>
            </w:r>
          </w:p>
          <w:p>
            <w:pPr>
              <w:pStyle w:val="0"/>
              <w:rPr>
                <w:rFonts w:hint="default" w:ascii="ＭＳ 明朝" w:hAnsi="ＭＳ 明朝" w:eastAsia="ＭＳ 明朝"/>
                <w:color w:val="auto"/>
              </w:rPr>
            </w:pPr>
          </w:p>
        </w:tc>
        <w:tc>
          <w:tcPr>
            <w:tcW w:w="580" w:type="dxa"/>
            <w:vAlign w:val="center"/>
          </w:tcPr>
          <w:p>
            <w:pPr>
              <w:pStyle w:val="0"/>
              <w:jc w:val="center"/>
              <w:rPr>
                <w:rFonts w:hint="default"/>
                <w:color w:val="auto"/>
                <w:sz w:val="24"/>
              </w:rPr>
            </w:pPr>
            <w:sdt>
              <w:sdtPr>
                <w:rPr>
                  <w:rFonts w:hint="default"/>
                  <w:color w:val="auto"/>
                  <w:sz w:val="24"/>
                </w:rPr>
                <w:id w:val="-191137912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49306941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60603881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625"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現金を収納した場合に、出納職員は領収書又は受領書を発行しているか。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・現金出納帳</w:t>
            </w:r>
          </w:p>
          <w:p>
            <w:pPr>
              <w:pStyle w:val="0"/>
              <w:rPr>
                <w:rFonts w:hint="default" w:ascii="ＭＳ 明朝" w:hAnsi="ＭＳ 明朝" w:eastAsia="ＭＳ 明朝"/>
                <w:color w:val="auto"/>
              </w:rPr>
            </w:pPr>
            <w:r>
              <w:rPr>
                <w:rFonts w:hint="eastAsia" w:ascii="ＭＳ 明朝" w:hAnsi="ＭＳ 明朝" w:eastAsia="ＭＳ 明朝"/>
                <w:color w:val="auto"/>
              </w:rPr>
              <w:t>・領収書及び受領書控</w:t>
            </w:r>
          </w:p>
        </w:tc>
        <w:tc>
          <w:tcPr>
            <w:tcW w:w="580" w:type="dxa"/>
            <w:vAlign w:val="center"/>
          </w:tcPr>
          <w:p>
            <w:pPr>
              <w:pStyle w:val="0"/>
              <w:jc w:val="center"/>
              <w:rPr>
                <w:rFonts w:hint="default"/>
                <w:color w:val="auto"/>
                <w:sz w:val="24"/>
              </w:rPr>
            </w:pPr>
            <w:sdt>
              <w:sdtPr>
                <w:rPr>
                  <w:rFonts w:hint="default"/>
                  <w:color w:val="auto"/>
                  <w:sz w:val="24"/>
                </w:rPr>
                <w:id w:val="65280727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10222498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8378932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625"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入金した金銭は、経理規程で定める日数以内に金融機関に預け入れているか。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・現金出納帳</w:t>
            </w:r>
          </w:p>
          <w:p>
            <w:pPr>
              <w:pStyle w:val="0"/>
              <w:rPr>
                <w:rFonts w:hint="default" w:ascii="ＭＳ 明朝" w:hAnsi="ＭＳ 明朝" w:eastAsia="ＭＳ 明朝"/>
                <w:color w:val="auto"/>
              </w:rPr>
            </w:pPr>
            <w:r>
              <w:rPr>
                <w:rFonts w:hint="eastAsia" w:ascii="ＭＳ 明朝" w:hAnsi="ＭＳ 明朝" w:eastAsia="ＭＳ 明朝"/>
                <w:color w:val="auto"/>
              </w:rPr>
              <w:t>・預貯金通帳</w:t>
            </w:r>
          </w:p>
        </w:tc>
        <w:tc>
          <w:tcPr>
            <w:tcW w:w="580" w:type="dxa"/>
            <w:vAlign w:val="center"/>
          </w:tcPr>
          <w:p>
            <w:pPr>
              <w:pStyle w:val="0"/>
              <w:jc w:val="center"/>
              <w:rPr>
                <w:rFonts w:hint="default"/>
                <w:color w:val="auto"/>
                <w:sz w:val="24"/>
              </w:rPr>
            </w:pPr>
            <w:sdt>
              <w:sdtPr>
                <w:rPr>
                  <w:rFonts w:hint="default"/>
                  <w:color w:val="auto"/>
                  <w:sz w:val="24"/>
                </w:rPr>
                <w:id w:val="75640746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96592403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27548842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625"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小口現金は、毎月経理規程に基づき精算を行い、仕訳日記帳を作成することにより、小口現金の相手勘定科目が、総勘定元帳に記帳されているか。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・小口現金出納帳</w:t>
            </w:r>
          </w:p>
        </w:tc>
        <w:tc>
          <w:tcPr>
            <w:tcW w:w="580" w:type="dxa"/>
            <w:vAlign w:val="center"/>
          </w:tcPr>
          <w:p>
            <w:pPr>
              <w:pStyle w:val="0"/>
              <w:jc w:val="center"/>
              <w:rPr>
                <w:rFonts w:hint="default"/>
                <w:color w:val="auto"/>
                <w:sz w:val="24"/>
              </w:rPr>
            </w:pPr>
            <w:sdt>
              <w:sdtPr>
                <w:rPr>
                  <w:rFonts w:hint="default"/>
                  <w:color w:val="auto"/>
                  <w:sz w:val="24"/>
                </w:rPr>
                <w:id w:val="163945556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52612682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91730967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625"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小口現金の保有額が、経理規程に定める限度額を超えていないか。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・小口現金出納帳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80" w:type="dxa"/>
            <w:vAlign w:val="center"/>
          </w:tcPr>
          <w:p>
            <w:pPr>
              <w:pStyle w:val="0"/>
              <w:jc w:val="center"/>
              <w:rPr>
                <w:rFonts w:hint="default"/>
                <w:color w:val="auto"/>
                <w:sz w:val="24"/>
              </w:rPr>
            </w:pPr>
            <w:sdt>
              <w:sdtPr>
                <w:rPr>
                  <w:rFonts w:hint="default"/>
                  <w:color w:val="auto"/>
                  <w:sz w:val="24"/>
                </w:rPr>
                <w:id w:val="-168667047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98975721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203657372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257"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小口現金による支払いや物品購入にあたって、職員が立替払いを行っていないか。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・現金出納帳</w:t>
            </w:r>
          </w:p>
          <w:p>
            <w:pPr>
              <w:pStyle w:val="0"/>
              <w:rPr>
                <w:rFonts w:hint="default" w:ascii="ＭＳ 明朝" w:hAnsi="ＭＳ 明朝" w:eastAsia="ＭＳ 明朝"/>
                <w:color w:val="auto"/>
              </w:rPr>
            </w:pPr>
            <w:r>
              <w:rPr>
                <w:rFonts w:hint="eastAsia" w:ascii="ＭＳ 明朝" w:hAnsi="ＭＳ 明朝" w:eastAsia="ＭＳ 明朝"/>
                <w:color w:val="auto"/>
              </w:rPr>
              <w:t>・預貯金通帳</w:t>
            </w:r>
          </w:p>
        </w:tc>
        <w:tc>
          <w:tcPr>
            <w:tcW w:w="580" w:type="dxa"/>
            <w:vAlign w:val="center"/>
          </w:tcPr>
          <w:p>
            <w:pPr>
              <w:pStyle w:val="0"/>
              <w:jc w:val="center"/>
              <w:rPr>
                <w:rFonts w:hint="default"/>
                <w:color w:val="auto"/>
                <w:sz w:val="24"/>
              </w:rPr>
            </w:pPr>
            <w:sdt>
              <w:sdtPr>
                <w:rPr>
                  <w:rFonts w:hint="default"/>
                  <w:color w:val="auto"/>
                  <w:sz w:val="24"/>
                </w:rPr>
                <w:id w:val="-63256170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84678271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02714626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257"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預貯金</w:t>
            </w:r>
          </w:p>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（積立資産</w:t>
            </w:r>
          </w:p>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の定期預金</w:t>
            </w:r>
          </w:p>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も含む）</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預貯金通帳からの入出金について、仕訳日記帳を適切に作成しているか。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・預貯金通帳</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80" w:type="dxa"/>
            <w:vAlign w:val="center"/>
          </w:tcPr>
          <w:p>
            <w:pPr>
              <w:pStyle w:val="0"/>
              <w:jc w:val="center"/>
              <w:rPr>
                <w:rFonts w:hint="default"/>
                <w:color w:val="auto"/>
                <w:sz w:val="24"/>
              </w:rPr>
            </w:pPr>
            <w:sdt>
              <w:sdtPr>
                <w:rPr>
                  <w:rFonts w:hint="default"/>
                  <w:color w:val="auto"/>
                  <w:sz w:val="24"/>
                </w:rPr>
                <w:id w:val="20761931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55929278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257"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預貯金通帳の記帳内容と、総勘定元帳の記帳内容は一致しているか。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・預貯金通帳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80" w:type="dxa"/>
            <w:vAlign w:val="center"/>
          </w:tcPr>
          <w:p>
            <w:pPr>
              <w:pStyle w:val="0"/>
              <w:jc w:val="center"/>
              <w:rPr>
                <w:rFonts w:hint="default"/>
                <w:color w:val="auto"/>
                <w:sz w:val="24"/>
              </w:rPr>
            </w:pPr>
            <w:sdt>
              <w:sdtPr>
                <w:rPr>
                  <w:rFonts w:hint="default"/>
                  <w:color w:val="auto"/>
                  <w:sz w:val="24"/>
                </w:rPr>
                <w:id w:val="22471916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67792796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257"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預貯金口座の名義人は、理事長になっているか。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・預貯金通帳</w:t>
            </w:r>
          </w:p>
        </w:tc>
        <w:tc>
          <w:tcPr>
            <w:tcW w:w="580" w:type="dxa"/>
            <w:vAlign w:val="center"/>
          </w:tcPr>
          <w:p>
            <w:pPr>
              <w:pStyle w:val="0"/>
              <w:jc w:val="center"/>
              <w:rPr>
                <w:rFonts w:hint="default"/>
                <w:color w:val="auto"/>
                <w:sz w:val="24"/>
              </w:rPr>
            </w:pPr>
            <w:sdt>
              <w:sdtPr>
                <w:rPr>
                  <w:rFonts w:hint="default"/>
                  <w:color w:val="auto"/>
                  <w:sz w:val="24"/>
                </w:rPr>
                <w:id w:val="-120340441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31885547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預貯金</w:t>
            </w:r>
          </w:p>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（積立資産</w:t>
            </w:r>
          </w:p>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の定期預金</w:t>
            </w:r>
          </w:p>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も含む）</w:t>
            </w:r>
          </w:p>
          <w:p>
            <w:pPr>
              <w:pStyle w:val="0"/>
              <w:jc w:val="center"/>
              <w:rPr>
                <w:rFonts w:hint="default" w:ascii="ＭＳ 明朝" w:hAnsi="ＭＳ 明朝" w:eastAsia="ＭＳ 明朝"/>
                <w:color w:val="auto"/>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必要以上に預貯金口座を設けていないか。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・事業活動計算書</w:t>
            </w:r>
          </w:p>
          <w:p>
            <w:pPr>
              <w:pStyle w:val="0"/>
              <w:rPr>
                <w:rFonts w:hint="default" w:ascii="ＭＳ 明朝" w:hAnsi="ＭＳ 明朝" w:eastAsia="ＭＳ 明朝"/>
                <w:color w:val="auto"/>
              </w:rPr>
            </w:pPr>
            <w:r>
              <w:rPr>
                <w:rFonts w:hint="eastAsia" w:ascii="ＭＳ 明朝" w:hAnsi="ＭＳ 明朝" w:eastAsia="ＭＳ 明朝"/>
                <w:color w:val="auto"/>
              </w:rPr>
              <w:t>・預貯金通帳</w:t>
            </w:r>
          </w:p>
        </w:tc>
        <w:tc>
          <w:tcPr>
            <w:tcW w:w="580" w:type="dxa"/>
            <w:vAlign w:val="center"/>
          </w:tcPr>
          <w:p>
            <w:pPr>
              <w:pStyle w:val="0"/>
              <w:jc w:val="center"/>
              <w:rPr>
                <w:rFonts w:hint="default"/>
                <w:color w:val="auto"/>
                <w:sz w:val="24"/>
              </w:rPr>
            </w:pPr>
            <w:sdt>
              <w:sdtPr>
                <w:rPr>
                  <w:rFonts w:hint="default"/>
                  <w:color w:val="auto"/>
                  <w:sz w:val="24"/>
                </w:rPr>
                <w:id w:val="51550149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68456231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continue"/>
            <w:textDirection w:val="tbRlV"/>
            <w:vAlign w:val="center"/>
          </w:tcPr>
          <w:p>
            <w:pPr>
              <w:pStyle w:val="0"/>
              <w:ind w:right="113"/>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一定の期間を定めて、預貯金口座の残高について、金融機関から残高証明書を徴して確認しているか。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・預貯金通帳</w:t>
            </w:r>
          </w:p>
          <w:p>
            <w:pPr>
              <w:pStyle w:val="0"/>
              <w:rPr>
                <w:rFonts w:hint="default" w:ascii="ＭＳ 明朝" w:hAnsi="ＭＳ 明朝" w:eastAsia="ＭＳ 明朝"/>
                <w:color w:val="auto"/>
              </w:rPr>
            </w:pPr>
            <w:r>
              <w:rPr>
                <w:rFonts w:hint="eastAsia" w:ascii="ＭＳ 明朝" w:hAnsi="ＭＳ 明朝" w:eastAsia="ＭＳ 明朝"/>
                <w:color w:val="auto"/>
              </w:rPr>
              <w:t>・預貯金残高証明書</w:t>
            </w:r>
          </w:p>
        </w:tc>
        <w:tc>
          <w:tcPr>
            <w:tcW w:w="580" w:type="dxa"/>
            <w:vAlign w:val="center"/>
          </w:tcPr>
          <w:p>
            <w:pPr>
              <w:pStyle w:val="0"/>
              <w:jc w:val="center"/>
              <w:rPr>
                <w:rFonts w:hint="default"/>
                <w:color w:val="auto"/>
                <w:sz w:val="24"/>
              </w:rPr>
            </w:pPr>
            <w:sdt>
              <w:sdtPr>
                <w:rPr>
                  <w:rFonts w:hint="default"/>
                  <w:color w:val="auto"/>
                  <w:sz w:val="24"/>
                </w:rPr>
                <w:id w:val="-124864990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31198698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上記の照合を行い差額があった場合に、出納職員が預貯金残高調整表を作成し、会計責任者に報告しているか。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・預貯金残高調整表</w:t>
            </w:r>
          </w:p>
          <w:p>
            <w:pPr>
              <w:pStyle w:val="0"/>
              <w:rPr>
                <w:rFonts w:hint="default" w:ascii="ＭＳ 明朝" w:hAnsi="ＭＳ 明朝" w:eastAsia="ＭＳ 明朝"/>
                <w:color w:val="auto"/>
                <w:sz w:val="20"/>
              </w:rPr>
            </w:pPr>
            <w:r>
              <w:rPr>
                <w:rFonts w:hint="eastAsia" w:ascii="ＭＳ 明朝" w:hAnsi="ＭＳ 明朝" w:eastAsia="ＭＳ 明朝"/>
                <w:color w:val="auto"/>
              </w:rPr>
              <w:t>・報告書</w:t>
            </w:r>
          </w:p>
        </w:tc>
        <w:tc>
          <w:tcPr>
            <w:tcW w:w="580" w:type="dxa"/>
            <w:vAlign w:val="center"/>
          </w:tcPr>
          <w:p>
            <w:pPr>
              <w:pStyle w:val="0"/>
              <w:jc w:val="center"/>
              <w:rPr>
                <w:rFonts w:hint="default"/>
                <w:color w:val="auto"/>
                <w:sz w:val="24"/>
              </w:rPr>
            </w:pPr>
            <w:sdt>
              <w:sdtPr>
                <w:rPr>
                  <w:rFonts w:hint="default"/>
                  <w:color w:val="auto"/>
                  <w:sz w:val="24"/>
                </w:rPr>
                <w:id w:val="88877131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69126234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47350787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徴収不能</w:t>
            </w:r>
          </w:p>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債権</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徴収不能引当金の引当基準及び償却基準を経理規程等で定めているか。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・経理規程細則</w:t>
            </w:r>
          </w:p>
        </w:tc>
        <w:tc>
          <w:tcPr>
            <w:tcW w:w="580" w:type="dxa"/>
            <w:vAlign w:val="center"/>
          </w:tcPr>
          <w:p>
            <w:pPr>
              <w:pStyle w:val="0"/>
              <w:jc w:val="center"/>
              <w:rPr>
                <w:rFonts w:hint="default"/>
                <w:color w:val="auto"/>
                <w:sz w:val="24"/>
              </w:rPr>
            </w:pPr>
            <w:sdt>
              <w:sdtPr>
                <w:rPr>
                  <w:rFonts w:hint="default"/>
                  <w:color w:val="auto"/>
                  <w:sz w:val="24"/>
                </w:rPr>
                <w:id w:val="23675125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25631687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55297106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長期にわたり回収が困難となっている債権について、経理規程等に基づき、適正に徴収不能引当金を計上しているか。</w:t>
            </w:r>
          </w:p>
        </w:tc>
        <w:tc>
          <w:tcPr>
            <w:tcW w:w="1910" w:type="dxa"/>
            <w:vMerge w:val="restart"/>
            <w:vAlign w:val="top"/>
          </w:tcPr>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・補助簿（貸付金台帳等）</w:t>
            </w:r>
          </w:p>
        </w:tc>
        <w:tc>
          <w:tcPr>
            <w:tcW w:w="580" w:type="dxa"/>
            <w:vAlign w:val="center"/>
          </w:tcPr>
          <w:p>
            <w:pPr>
              <w:pStyle w:val="0"/>
              <w:jc w:val="center"/>
              <w:rPr>
                <w:rFonts w:hint="default"/>
                <w:color w:val="auto"/>
                <w:sz w:val="24"/>
              </w:rPr>
            </w:pPr>
            <w:sdt>
              <w:sdtPr>
                <w:rPr>
                  <w:rFonts w:hint="default"/>
                  <w:color w:val="auto"/>
                  <w:sz w:val="24"/>
                </w:rPr>
                <w:id w:val="111462778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46680284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28092283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法的に権利が消滅した債権について、適正に償却を行っているか</w:t>
            </w:r>
          </w:p>
        </w:tc>
        <w:tc>
          <w:tcPr>
            <w:tcW w:w="1910" w:type="dxa"/>
            <w:vMerge w:val="continue"/>
            <w:vAlign w:val="top"/>
          </w:tcPr>
          <w:p>
            <w:pPr>
              <w:pStyle w:val="0"/>
              <w:rPr>
                <w:rFonts w:hint="default" w:ascii="ＭＳ 明朝" w:hAnsi="ＭＳ 明朝" w:eastAsia="ＭＳ 明朝"/>
              </w:rPr>
            </w:pPr>
          </w:p>
        </w:tc>
        <w:tc>
          <w:tcPr>
            <w:tcW w:w="580" w:type="dxa"/>
            <w:vAlign w:val="center"/>
          </w:tcPr>
          <w:p>
            <w:pPr>
              <w:pStyle w:val="0"/>
              <w:jc w:val="center"/>
              <w:rPr>
                <w:rFonts w:hint="default"/>
                <w:color w:val="auto"/>
                <w:sz w:val="24"/>
              </w:rPr>
            </w:pPr>
            <w:sdt>
              <w:sdtPr>
                <w:rPr>
                  <w:rFonts w:hint="default"/>
                  <w:color w:val="auto"/>
                  <w:sz w:val="24"/>
                </w:rPr>
                <w:id w:val="-78874733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5514976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83333783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restart"/>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auto"/>
                <w:sz w:val="20"/>
              </w:rPr>
              <w:t>有価証券</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有価証券の内容は有価証券管理台帳（有価証券明細書）と一致しているか。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・有価証券</w:t>
            </w:r>
          </w:p>
          <w:p>
            <w:pPr>
              <w:pStyle w:val="0"/>
              <w:rPr>
                <w:rFonts w:hint="default" w:ascii="ＭＳ 明朝" w:hAnsi="ＭＳ 明朝" w:eastAsia="ＭＳ 明朝"/>
                <w:color w:val="auto"/>
              </w:rPr>
            </w:pPr>
            <w:r>
              <w:rPr>
                <w:rFonts w:hint="eastAsia" w:ascii="ＭＳ 明朝" w:hAnsi="ＭＳ 明朝" w:eastAsia="ＭＳ 明朝"/>
                <w:color w:val="auto"/>
              </w:rPr>
              <w:t>・有価証券管理台帳</w:t>
            </w:r>
          </w:p>
          <w:p>
            <w:pPr>
              <w:pStyle w:val="0"/>
              <w:rPr>
                <w:rFonts w:hint="default" w:ascii="ＭＳ 明朝" w:hAnsi="ＭＳ 明朝" w:eastAsia="ＭＳ 明朝"/>
                <w:color w:val="auto"/>
              </w:rPr>
            </w:pPr>
            <w:r>
              <w:rPr>
                <w:rFonts w:hint="eastAsia" w:ascii="ＭＳ 明朝" w:hAnsi="ＭＳ 明朝" w:eastAsia="ＭＳ 明朝"/>
                <w:color w:val="auto"/>
              </w:rPr>
              <w:t>・有価証券明細書</w:t>
            </w:r>
          </w:p>
        </w:tc>
        <w:tc>
          <w:tcPr>
            <w:tcW w:w="580" w:type="dxa"/>
            <w:vAlign w:val="center"/>
          </w:tcPr>
          <w:p>
            <w:pPr>
              <w:pStyle w:val="0"/>
              <w:jc w:val="center"/>
              <w:rPr>
                <w:rFonts w:hint="default"/>
                <w:color w:val="auto"/>
                <w:sz w:val="24"/>
              </w:rPr>
            </w:pPr>
            <w:sdt>
              <w:sdtPr>
                <w:rPr>
                  <w:rFonts w:hint="default"/>
                  <w:color w:val="auto"/>
                  <w:sz w:val="24"/>
                </w:rPr>
                <w:id w:val="-82142595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31114526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77535857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満期保有目的の以外で所有する有価証券で、市場価格のあるものは、会計年度末の時価評価額で資産に計上しているか。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・有価証券</w:t>
            </w:r>
          </w:p>
          <w:p>
            <w:pPr>
              <w:pStyle w:val="0"/>
              <w:rPr>
                <w:rFonts w:hint="default" w:ascii="ＭＳ 明朝" w:hAnsi="ＭＳ 明朝" w:eastAsia="ＭＳ 明朝"/>
                <w:color w:val="auto"/>
              </w:rPr>
            </w:pPr>
            <w:r>
              <w:rPr>
                <w:rFonts w:hint="eastAsia" w:ascii="ＭＳ 明朝" w:hAnsi="ＭＳ 明朝" w:eastAsia="ＭＳ 明朝"/>
                <w:color w:val="auto"/>
              </w:rPr>
              <w:t>・有価証券管理台帳</w:t>
            </w:r>
          </w:p>
          <w:p>
            <w:pPr>
              <w:pStyle w:val="0"/>
              <w:rPr>
                <w:rFonts w:hint="default" w:ascii="ＭＳ 明朝" w:hAnsi="ＭＳ 明朝" w:eastAsia="ＭＳ 明朝"/>
                <w:color w:val="auto"/>
              </w:rPr>
            </w:pPr>
            <w:r>
              <w:rPr>
                <w:rFonts w:hint="eastAsia" w:ascii="ＭＳ 明朝" w:hAnsi="ＭＳ 明朝" w:eastAsia="ＭＳ 明朝"/>
                <w:color w:val="auto"/>
              </w:rPr>
              <w:t>・有価証券明細書</w:t>
            </w:r>
          </w:p>
        </w:tc>
        <w:tc>
          <w:tcPr>
            <w:tcW w:w="580" w:type="dxa"/>
            <w:vAlign w:val="center"/>
          </w:tcPr>
          <w:p>
            <w:pPr>
              <w:pStyle w:val="0"/>
              <w:jc w:val="center"/>
              <w:rPr>
                <w:rFonts w:hint="default"/>
                <w:color w:val="auto"/>
                <w:sz w:val="24"/>
              </w:rPr>
            </w:pPr>
            <w:sdt>
              <w:sdtPr>
                <w:rPr>
                  <w:rFonts w:hint="default"/>
                  <w:color w:val="auto"/>
                  <w:sz w:val="24"/>
                </w:rPr>
                <w:id w:val="-194514334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7697932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74560591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満期保有目的の債券を、債券金額より低い価額又は高い価額で取得した場合において、取得価額と債券金額の差額の性格が金利の調整と認められるときは、償却原価法に基づいて取得価額を算定しているか。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・有価証券</w:t>
            </w:r>
          </w:p>
          <w:p>
            <w:pPr>
              <w:pStyle w:val="0"/>
              <w:rPr>
                <w:rFonts w:hint="default" w:ascii="ＭＳ 明朝" w:hAnsi="ＭＳ 明朝" w:eastAsia="ＭＳ 明朝"/>
                <w:color w:val="auto"/>
              </w:rPr>
            </w:pPr>
            <w:r>
              <w:rPr>
                <w:rFonts w:hint="eastAsia" w:ascii="ＭＳ 明朝" w:hAnsi="ＭＳ 明朝" w:eastAsia="ＭＳ 明朝"/>
                <w:color w:val="auto"/>
              </w:rPr>
              <w:t>・有価証券管理台帳</w:t>
            </w:r>
          </w:p>
          <w:p>
            <w:pPr>
              <w:pStyle w:val="0"/>
              <w:rPr>
                <w:rFonts w:hint="default" w:ascii="ＭＳ 明朝" w:hAnsi="ＭＳ 明朝" w:eastAsia="ＭＳ 明朝"/>
                <w:color w:val="auto"/>
              </w:rPr>
            </w:pPr>
            <w:r>
              <w:rPr>
                <w:rFonts w:hint="eastAsia" w:ascii="ＭＳ 明朝" w:hAnsi="ＭＳ 明朝" w:eastAsia="ＭＳ 明朝"/>
                <w:color w:val="auto"/>
              </w:rPr>
              <w:t>・有価証券明細書</w:t>
            </w:r>
          </w:p>
        </w:tc>
        <w:tc>
          <w:tcPr>
            <w:tcW w:w="580" w:type="dxa"/>
            <w:vAlign w:val="center"/>
          </w:tcPr>
          <w:p>
            <w:pPr>
              <w:pStyle w:val="0"/>
              <w:jc w:val="center"/>
              <w:rPr>
                <w:rFonts w:hint="default"/>
                <w:color w:val="auto"/>
                <w:sz w:val="24"/>
              </w:rPr>
            </w:pPr>
            <w:sdt>
              <w:sdtPr>
                <w:rPr>
                  <w:rFonts w:hint="default"/>
                  <w:color w:val="auto"/>
                  <w:sz w:val="24"/>
                </w:rPr>
                <w:id w:val="8271774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16778665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70093274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有価証券について、会計年度の末日における時価がその時の取得価額より著しく低い場合、当該有価証券の時価がその時の取得原価まで回復すると認められる場合を除き、時価で資産に計上されているか。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・有価証券</w:t>
            </w:r>
          </w:p>
          <w:p>
            <w:pPr>
              <w:pStyle w:val="0"/>
              <w:rPr>
                <w:rFonts w:hint="default" w:ascii="ＭＳ 明朝" w:hAnsi="ＭＳ 明朝" w:eastAsia="ＭＳ 明朝"/>
                <w:color w:val="auto"/>
              </w:rPr>
            </w:pPr>
            <w:r>
              <w:rPr>
                <w:rFonts w:hint="eastAsia" w:ascii="ＭＳ 明朝" w:hAnsi="ＭＳ 明朝" w:eastAsia="ＭＳ 明朝"/>
                <w:color w:val="auto"/>
              </w:rPr>
              <w:t>・有価証券管理台帳</w:t>
            </w:r>
          </w:p>
          <w:p>
            <w:pPr>
              <w:pStyle w:val="0"/>
              <w:rPr>
                <w:rFonts w:hint="default" w:ascii="ＭＳ 明朝" w:hAnsi="ＭＳ 明朝" w:eastAsia="ＭＳ 明朝"/>
                <w:color w:val="auto"/>
              </w:rPr>
            </w:pPr>
            <w:r>
              <w:rPr>
                <w:rFonts w:hint="eastAsia" w:ascii="ＭＳ 明朝" w:hAnsi="ＭＳ 明朝" w:eastAsia="ＭＳ 明朝"/>
                <w:color w:val="auto"/>
              </w:rPr>
              <w:t>・有価証券明細書</w:t>
            </w:r>
          </w:p>
        </w:tc>
        <w:tc>
          <w:tcPr>
            <w:tcW w:w="580" w:type="dxa"/>
            <w:vAlign w:val="center"/>
          </w:tcPr>
          <w:p>
            <w:pPr>
              <w:pStyle w:val="0"/>
              <w:jc w:val="center"/>
              <w:rPr>
                <w:rFonts w:hint="default"/>
                <w:color w:val="auto"/>
                <w:sz w:val="24"/>
              </w:rPr>
            </w:pPr>
            <w:sdt>
              <w:sdtPr>
                <w:rPr>
                  <w:rFonts w:hint="default"/>
                  <w:color w:val="auto"/>
                  <w:sz w:val="24"/>
                </w:rPr>
                <w:id w:val="-80879162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07317083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85024906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上記以外の有価証券は取得価額で資産に計上されているか。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・有価証券管理台帳</w:t>
            </w:r>
          </w:p>
          <w:p>
            <w:pPr>
              <w:pStyle w:val="0"/>
              <w:rPr>
                <w:rFonts w:hint="default" w:ascii="ＭＳ 明朝" w:hAnsi="ＭＳ 明朝" w:eastAsia="ＭＳ 明朝"/>
                <w:color w:val="auto"/>
              </w:rPr>
            </w:pPr>
            <w:r>
              <w:rPr>
                <w:rFonts w:hint="eastAsia" w:ascii="ＭＳ 明朝" w:hAnsi="ＭＳ 明朝" w:eastAsia="ＭＳ 明朝"/>
                <w:color w:val="auto"/>
              </w:rPr>
              <w:t>・有価証券</w:t>
            </w:r>
          </w:p>
        </w:tc>
        <w:tc>
          <w:tcPr>
            <w:tcW w:w="580" w:type="dxa"/>
            <w:vAlign w:val="center"/>
          </w:tcPr>
          <w:p>
            <w:pPr>
              <w:pStyle w:val="0"/>
              <w:jc w:val="center"/>
              <w:rPr>
                <w:rFonts w:hint="default"/>
                <w:color w:val="auto"/>
                <w:sz w:val="24"/>
              </w:rPr>
            </w:pPr>
            <w:sdt>
              <w:sdtPr>
                <w:rPr>
                  <w:rFonts w:hint="default"/>
                  <w:color w:val="auto"/>
                  <w:sz w:val="24"/>
                </w:rPr>
                <w:id w:val="31199094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25002911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26869018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棚卸資産</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棚卸資産について、会計年度の末日における時価がその時点の資産価額よりも下落している場合に、時価に評価替えを行っている。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・経理規程細則</w:t>
            </w:r>
          </w:p>
          <w:p>
            <w:pPr>
              <w:pStyle w:val="0"/>
              <w:rPr>
                <w:rFonts w:hint="default" w:ascii="ＭＳ 明朝" w:hAnsi="ＭＳ 明朝" w:eastAsia="ＭＳ 明朝"/>
                <w:color w:val="auto"/>
              </w:rPr>
            </w:pPr>
            <w:r>
              <w:rPr>
                <w:rFonts w:hint="eastAsia" w:ascii="ＭＳ 明朝" w:hAnsi="ＭＳ 明朝" w:eastAsia="ＭＳ 明朝"/>
                <w:color w:val="auto"/>
              </w:rPr>
              <w:t>・各資産管理台帳</w:t>
            </w:r>
          </w:p>
        </w:tc>
        <w:tc>
          <w:tcPr>
            <w:tcW w:w="580" w:type="dxa"/>
            <w:vAlign w:val="center"/>
          </w:tcPr>
          <w:p>
            <w:pPr>
              <w:pStyle w:val="0"/>
              <w:jc w:val="center"/>
              <w:rPr>
                <w:rFonts w:hint="default"/>
                <w:color w:val="auto"/>
                <w:sz w:val="24"/>
              </w:rPr>
            </w:pPr>
            <w:sdt>
              <w:sdtPr>
                <w:rPr>
                  <w:rFonts w:hint="default"/>
                  <w:color w:val="auto"/>
                  <w:sz w:val="24"/>
                </w:rPr>
                <w:id w:val="92854399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04020155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26164979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auto"/>
                <w:sz w:val="20"/>
              </w:rPr>
              <w:t>固定資産</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固定資産管理責任者は、固定資産管理台帳等を作成し、固定資産の保有状況について会計責任者等に報告しているか。</w:t>
            </w:r>
          </w:p>
          <w:p>
            <w:pPr>
              <w:pStyle w:val="0"/>
              <w:rPr>
                <w:rFonts w:hint="default" w:ascii="ＭＳ 明朝" w:hAnsi="ＭＳ 明朝" w:eastAsia="ＭＳ 明朝"/>
                <w:color w:val="auto"/>
                <w:sz w:val="20"/>
              </w:rPr>
            </w:pP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・経理規程細則</w:t>
            </w:r>
          </w:p>
          <w:p>
            <w:pPr>
              <w:pStyle w:val="0"/>
              <w:rPr>
                <w:rFonts w:hint="default" w:ascii="ＭＳ 明朝" w:hAnsi="ＭＳ 明朝" w:eastAsia="ＭＳ 明朝"/>
                <w:color w:val="auto"/>
              </w:rPr>
            </w:pPr>
            <w:r>
              <w:rPr>
                <w:rFonts w:hint="eastAsia" w:ascii="ＭＳ 明朝" w:hAnsi="ＭＳ 明朝" w:eastAsia="ＭＳ 明朝"/>
                <w:color w:val="auto"/>
              </w:rPr>
              <w:t>・固定資産管理台帳</w:t>
            </w:r>
          </w:p>
          <w:p>
            <w:pPr>
              <w:pStyle w:val="0"/>
              <w:rPr>
                <w:rFonts w:hint="default" w:ascii="ＭＳ 明朝" w:hAnsi="ＭＳ 明朝" w:eastAsia="ＭＳ 明朝"/>
                <w:color w:val="auto"/>
              </w:rPr>
            </w:pPr>
            <w:r>
              <w:rPr>
                <w:rFonts w:hint="eastAsia" w:ascii="ＭＳ 明朝" w:hAnsi="ＭＳ 明朝" w:eastAsia="ＭＳ 明朝"/>
                <w:color w:val="auto"/>
              </w:rPr>
              <w:t>・その他資産管理台帳</w:t>
            </w:r>
          </w:p>
        </w:tc>
        <w:tc>
          <w:tcPr>
            <w:tcW w:w="580" w:type="dxa"/>
            <w:vAlign w:val="center"/>
          </w:tcPr>
          <w:p>
            <w:pPr>
              <w:pStyle w:val="0"/>
              <w:jc w:val="center"/>
              <w:rPr>
                <w:rFonts w:hint="default"/>
                <w:color w:val="auto"/>
                <w:sz w:val="24"/>
              </w:rPr>
            </w:pPr>
            <w:sdt>
              <w:sdtPr>
                <w:rPr>
                  <w:rFonts w:hint="default"/>
                  <w:color w:val="auto"/>
                  <w:sz w:val="24"/>
                </w:rPr>
                <w:id w:val="10964409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22595968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cantSplit/>
          <w:trHeight w:val="1134"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固定資産</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有形固定資産について、定額法又は定率法のいずれかの方法に従い、無形固定資産は、定額法により、相当の減価償却を行っているか。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・固定資産管理台帳</w:t>
            </w:r>
          </w:p>
        </w:tc>
        <w:tc>
          <w:tcPr>
            <w:tcW w:w="580" w:type="dxa"/>
            <w:vAlign w:val="center"/>
          </w:tcPr>
          <w:p>
            <w:pPr>
              <w:pStyle w:val="0"/>
              <w:jc w:val="center"/>
              <w:rPr>
                <w:rFonts w:hint="default"/>
                <w:color w:val="auto"/>
                <w:sz w:val="24"/>
              </w:rPr>
            </w:pPr>
            <w:sdt>
              <w:sdtPr>
                <w:rPr>
                  <w:rFonts w:hint="default"/>
                  <w:color w:val="auto"/>
                  <w:sz w:val="24"/>
                </w:rPr>
                <w:id w:val="404088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63514377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cantSplit/>
          <w:trHeight w:val="646"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減価償却費の額は固定資産管理台帳の減価償却費の額と一致しているか。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・固定資産管理台帳</w:t>
            </w:r>
          </w:p>
        </w:tc>
        <w:tc>
          <w:tcPr>
            <w:tcW w:w="580" w:type="dxa"/>
            <w:vAlign w:val="center"/>
          </w:tcPr>
          <w:p>
            <w:pPr>
              <w:pStyle w:val="0"/>
              <w:jc w:val="center"/>
              <w:rPr>
                <w:rFonts w:hint="default"/>
                <w:color w:val="auto"/>
                <w:sz w:val="24"/>
              </w:rPr>
            </w:pPr>
            <w:sdt>
              <w:sdtPr>
                <w:rPr>
                  <w:rFonts w:hint="default"/>
                  <w:color w:val="auto"/>
                  <w:sz w:val="24"/>
                </w:rPr>
                <w:id w:val="-61074669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17565176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cantSplit/>
          <w:trHeight w:val="344"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固定資産がある場合に、当該固定資産について、会計年度の末日における時価を把握しているか。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・固定資産管理台帳</w:t>
            </w:r>
          </w:p>
          <w:p>
            <w:pPr>
              <w:pStyle w:val="0"/>
              <w:rPr>
                <w:rFonts w:hint="default" w:ascii="ＭＳ 明朝" w:hAnsi="ＭＳ 明朝" w:eastAsia="ＭＳ 明朝"/>
                <w:color w:val="auto"/>
              </w:rPr>
            </w:pPr>
            <w:r>
              <w:rPr>
                <w:rFonts w:hint="eastAsia" w:ascii="ＭＳ 明朝" w:hAnsi="ＭＳ 明朝" w:eastAsia="ＭＳ 明朝"/>
                <w:color w:val="auto"/>
              </w:rPr>
              <w:t>・評価に関する資料</w:t>
            </w:r>
          </w:p>
        </w:tc>
        <w:tc>
          <w:tcPr>
            <w:tcW w:w="580" w:type="dxa"/>
            <w:vAlign w:val="center"/>
          </w:tcPr>
          <w:p>
            <w:pPr>
              <w:pStyle w:val="0"/>
              <w:jc w:val="center"/>
              <w:rPr>
                <w:rFonts w:hint="default"/>
                <w:color w:val="auto"/>
                <w:sz w:val="24"/>
              </w:rPr>
            </w:pPr>
            <w:sdt>
              <w:sdtPr>
                <w:rPr>
                  <w:rFonts w:hint="default"/>
                  <w:color w:val="auto"/>
                  <w:sz w:val="24"/>
                </w:rPr>
                <w:id w:val="-28134161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3304331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3163908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44"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固定資産について、会計年度の末日における時価がその時点の資産計上額よりも著しく低い資産がある場合に、当該資産の時価がその時の取得原価まで回復すると認められる場合を除き、時価に評価替えを行っ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・経理規程細則</w:t>
            </w:r>
          </w:p>
          <w:p>
            <w:pPr>
              <w:pStyle w:val="0"/>
              <w:rPr>
                <w:rFonts w:hint="default" w:ascii="ＭＳ 明朝" w:hAnsi="ＭＳ 明朝" w:eastAsia="ＭＳ 明朝"/>
                <w:color w:val="auto"/>
              </w:rPr>
            </w:pPr>
            <w:r>
              <w:rPr>
                <w:rFonts w:hint="eastAsia" w:ascii="ＭＳ 明朝" w:hAnsi="ＭＳ 明朝" w:eastAsia="ＭＳ 明朝"/>
                <w:color w:val="auto"/>
              </w:rPr>
              <w:t>・固定資産管理台帳</w:t>
            </w:r>
          </w:p>
          <w:p>
            <w:pPr>
              <w:pStyle w:val="0"/>
              <w:rPr>
                <w:rFonts w:hint="default" w:ascii="ＭＳ 明朝" w:hAnsi="ＭＳ 明朝" w:eastAsia="ＭＳ 明朝"/>
                <w:color w:val="auto"/>
              </w:rPr>
            </w:pPr>
            <w:r>
              <w:rPr>
                <w:rFonts w:hint="eastAsia" w:ascii="ＭＳ 明朝" w:hAnsi="ＭＳ 明朝" w:eastAsia="ＭＳ 明朝"/>
                <w:color w:val="auto"/>
              </w:rPr>
              <w:t>・評価に関する資料</w:t>
            </w:r>
          </w:p>
        </w:tc>
        <w:tc>
          <w:tcPr>
            <w:tcW w:w="580" w:type="dxa"/>
            <w:vAlign w:val="center"/>
          </w:tcPr>
          <w:p>
            <w:pPr>
              <w:pStyle w:val="0"/>
              <w:jc w:val="center"/>
              <w:rPr>
                <w:rFonts w:hint="default"/>
                <w:color w:val="auto"/>
                <w:sz w:val="24"/>
              </w:rPr>
            </w:pPr>
            <w:sdt>
              <w:sdtPr>
                <w:rPr>
                  <w:rFonts w:hint="default"/>
                  <w:color w:val="auto"/>
                  <w:sz w:val="24"/>
                </w:rPr>
                <w:id w:val="7086050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84594029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73943920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44"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借入金</w:t>
            </w:r>
          </w:p>
        </w:tc>
        <w:tc>
          <w:tcPr>
            <w:tcW w:w="4629" w:type="dxa"/>
            <w:vAlign w:val="center"/>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借入金がある場合に、借入金台帳（又は借入金明細書）を作成し、償還額等の管理を行っているか。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・借入金台帳</w:t>
            </w:r>
          </w:p>
        </w:tc>
        <w:tc>
          <w:tcPr>
            <w:tcW w:w="580" w:type="dxa"/>
            <w:vAlign w:val="center"/>
          </w:tcPr>
          <w:p>
            <w:pPr>
              <w:pStyle w:val="0"/>
              <w:jc w:val="center"/>
              <w:rPr>
                <w:rFonts w:hint="default"/>
                <w:color w:val="auto"/>
                <w:sz w:val="24"/>
              </w:rPr>
            </w:pPr>
            <w:sdt>
              <w:sdtPr>
                <w:rPr>
                  <w:rFonts w:hint="default"/>
                  <w:color w:val="auto"/>
                  <w:sz w:val="24"/>
                </w:rPr>
                <w:id w:val="199405933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64431896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53669803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44" w:hRule="atLeast"/>
        </w:trPr>
        <w:tc>
          <w:tcPr>
            <w:tcW w:w="1351" w:type="dxa"/>
            <w:vMerge w:val="continue"/>
            <w:vAlign w:val="center"/>
          </w:tcPr>
          <w:p>
            <w:pPr>
              <w:pStyle w:val="0"/>
              <w:rPr>
                <w:rFonts w:hint="eastAsia"/>
              </w:rPr>
            </w:pPr>
          </w:p>
        </w:tc>
        <w:tc>
          <w:tcPr>
            <w:tcW w:w="4629" w:type="dxa"/>
            <w:vAlign w:val="center"/>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借入金がある場合に、当該借入金を、借入目的に応じた適切な勘定科目に計上しているか。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・借入金台帳</w:t>
            </w:r>
          </w:p>
        </w:tc>
        <w:tc>
          <w:tcPr>
            <w:tcW w:w="580" w:type="dxa"/>
            <w:vAlign w:val="center"/>
          </w:tcPr>
          <w:p>
            <w:pPr>
              <w:pStyle w:val="0"/>
              <w:jc w:val="center"/>
              <w:rPr>
                <w:rFonts w:hint="default"/>
                <w:color w:val="auto"/>
                <w:sz w:val="24"/>
              </w:rPr>
            </w:pPr>
            <w:sdt>
              <w:sdtPr>
                <w:rPr>
                  <w:rFonts w:hint="default"/>
                  <w:color w:val="auto"/>
                  <w:sz w:val="24"/>
                </w:rPr>
                <w:id w:val="15547334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66072965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90973212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44"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借入金がある場合に、当該借入は、事業運営において必要なものであったか。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・借入金台帳</w:t>
            </w:r>
          </w:p>
        </w:tc>
        <w:tc>
          <w:tcPr>
            <w:tcW w:w="580" w:type="dxa"/>
            <w:vAlign w:val="center"/>
          </w:tcPr>
          <w:p>
            <w:pPr>
              <w:pStyle w:val="0"/>
              <w:jc w:val="center"/>
              <w:rPr>
                <w:rFonts w:hint="default"/>
                <w:color w:val="auto"/>
                <w:sz w:val="24"/>
              </w:rPr>
            </w:pPr>
            <w:sdt>
              <w:sdtPr>
                <w:rPr>
                  <w:rFonts w:hint="default"/>
                  <w:color w:val="auto"/>
                  <w:sz w:val="24"/>
                </w:rPr>
                <w:id w:val="198534359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8665438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50844889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859"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借入金がある場合に、当該借入金の償還が、法人及び施設経営に支障を及ぼしていないか。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・計算書類</w:t>
            </w:r>
          </w:p>
          <w:p>
            <w:pPr>
              <w:pStyle w:val="0"/>
              <w:rPr>
                <w:rFonts w:hint="default" w:ascii="ＭＳ 明朝" w:hAnsi="ＭＳ 明朝" w:eastAsia="ＭＳ 明朝"/>
                <w:color w:val="auto"/>
              </w:rPr>
            </w:pPr>
            <w:r>
              <w:rPr>
                <w:rFonts w:hint="eastAsia" w:ascii="ＭＳ 明朝" w:hAnsi="ＭＳ 明朝" w:eastAsia="ＭＳ 明朝"/>
                <w:color w:val="auto"/>
              </w:rPr>
              <w:t>・借入金台帳</w:t>
            </w:r>
          </w:p>
        </w:tc>
        <w:tc>
          <w:tcPr>
            <w:tcW w:w="580" w:type="dxa"/>
            <w:vAlign w:val="center"/>
          </w:tcPr>
          <w:p>
            <w:pPr>
              <w:pStyle w:val="0"/>
              <w:jc w:val="center"/>
              <w:rPr>
                <w:rFonts w:hint="default"/>
                <w:color w:val="auto"/>
                <w:sz w:val="24"/>
              </w:rPr>
            </w:pPr>
            <w:sdt>
              <w:sdtPr>
                <w:rPr>
                  <w:rFonts w:hint="default"/>
                  <w:color w:val="auto"/>
                  <w:sz w:val="24"/>
                </w:rPr>
                <w:id w:val="49615466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18527802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35577345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1043"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多額な借入がある場合に、当該借入は、理事会の決議を経て行われているか。（予算に計上されているもの及び理事長に借り入れする権限が委任されているものを除く。）</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・借入金台帳</w:t>
            </w:r>
          </w:p>
          <w:p>
            <w:pPr>
              <w:pStyle w:val="0"/>
              <w:rPr>
                <w:rFonts w:hint="default" w:ascii="ＭＳ 明朝" w:hAnsi="ＭＳ 明朝" w:eastAsia="ＭＳ 明朝"/>
                <w:color w:val="auto"/>
              </w:rPr>
            </w:pPr>
            <w:r>
              <w:rPr>
                <w:rFonts w:hint="eastAsia" w:ascii="ＭＳ 明朝" w:hAnsi="ＭＳ 明朝" w:eastAsia="ＭＳ 明朝"/>
                <w:color w:val="auto"/>
              </w:rPr>
              <w:t>・理事会議事録</w:t>
            </w:r>
          </w:p>
        </w:tc>
        <w:tc>
          <w:tcPr>
            <w:tcW w:w="580" w:type="dxa"/>
            <w:vAlign w:val="center"/>
          </w:tcPr>
          <w:p>
            <w:pPr>
              <w:pStyle w:val="0"/>
              <w:jc w:val="center"/>
              <w:rPr>
                <w:rFonts w:hint="default"/>
                <w:color w:val="auto"/>
                <w:sz w:val="24"/>
              </w:rPr>
            </w:pPr>
            <w:sdt>
              <w:sdtPr>
                <w:rPr>
                  <w:rFonts w:hint="default"/>
                  <w:color w:val="auto"/>
                  <w:sz w:val="24"/>
                </w:rPr>
                <w:id w:val="-146218639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53137490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90645231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832"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リース取引</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リース資産がある場合に、リース資産管理台帳を作成しているか。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・リース資産管理台帳</w:t>
            </w:r>
          </w:p>
        </w:tc>
        <w:tc>
          <w:tcPr>
            <w:tcW w:w="580" w:type="dxa"/>
            <w:vAlign w:val="center"/>
          </w:tcPr>
          <w:p>
            <w:pPr>
              <w:pStyle w:val="0"/>
              <w:jc w:val="center"/>
              <w:rPr>
                <w:rFonts w:hint="default"/>
                <w:color w:val="auto"/>
                <w:sz w:val="24"/>
              </w:rPr>
            </w:pPr>
            <w:sdt>
              <w:sdtPr>
                <w:rPr>
                  <w:rFonts w:hint="default"/>
                  <w:color w:val="auto"/>
                  <w:sz w:val="24"/>
                </w:rPr>
                <w:id w:val="3201129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75231945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90999866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632" w:hRule="atLeast"/>
        </w:trPr>
        <w:tc>
          <w:tcPr>
            <w:tcW w:w="1351" w:type="dxa"/>
            <w:vMerge w:val="continue"/>
            <w:vAlign w:val="center"/>
          </w:tcPr>
          <w:p>
            <w:pPr>
              <w:pStyle w:val="0"/>
              <w:jc w:val="center"/>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法人がリース取引</w:t>
            </w:r>
            <w:r>
              <w:rPr>
                <w:rFonts w:hint="eastAsia" w:ascii="ＭＳ 明朝" w:hAnsi="ＭＳ 明朝" w:eastAsia="ＭＳ 明朝"/>
                <w:color w:val="auto"/>
                <w:sz w:val="20"/>
              </w:rPr>
              <w:t>(</w:t>
            </w:r>
            <w:r>
              <w:rPr>
                <w:rFonts w:hint="eastAsia" w:ascii="ＭＳ 明朝" w:hAnsi="ＭＳ 明朝" w:eastAsia="ＭＳ 明朝"/>
                <w:color w:val="auto"/>
                <w:sz w:val="20"/>
              </w:rPr>
              <w:t>契約上賃貸借となっているものも含む</w:t>
            </w:r>
            <w:r>
              <w:rPr>
                <w:rFonts w:hint="eastAsia" w:ascii="ＭＳ 明朝" w:hAnsi="ＭＳ 明朝" w:eastAsia="ＭＳ 明朝"/>
                <w:color w:val="auto"/>
                <w:sz w:val="20"/>
              </w:rPr>
              <w:t>)</w:t>
            </w:r>
            <w:r>
              <w:rPr>
                <w:rFonts w:hint="eastAsia" w:ascii="ＭＳ 明朝" w:hAnsi="ＭＳ 明朝" w:eastAsia="ＭＳ 明朝"/>
                <w:color w:val="auto"/>
                <w:sz w:val="20"/>
              </w:rPr>
              <w:t>に係る借手である場合に、契約期間を通じた総支払額が</w:t>
            </w:r>
            <w:r>
              <w:rPr>
                <w:rFonts w:hint="eastAsia" w:ascii="ＭＳ 明朝" w:hAnsi="ＭＳ 明朝" w:eastAsia="ＭＳ 明朝"/>
                <w:color w:val="auto"/>
                <w:sz w:val="20"/>
              </w:rPr>
              <w:t>300</w:t>
            </w:r>
            <w:r>
              <w:rPr>
                <w:rFonts w:hint="eastAsia" w:ascii="ＭＳ 明朝" w:hAnsi="ＭＳ 明朝" w:eastAsia="ＭＳ 明朝"/>
                <w:color w:val="auto"/>
                <w:sz w:val="20"/>
              </w:rPr>
              <w:t>万以上となるファイナンス・リース取引について、通常の資産の売買契約に係る方法に準じて会計処理を行っているか。</w:t>
            </w: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・リース資産管理台帳</w:t>
            </w:r>
          </w:p>
          <w:p>
            <w:pPr>
              <w:pStyle w:val="0"/>
              <w:rPr>
                <w:rFonts w:hint="default" w:ascii="ＭＳ 明朝" w:hAnsi="ＭＳ 明朝" w:eastAsia="ＭＳ 明朝"/>
                <w:color w:val="auto"/>
              </w:rPr>
            </w:pPr>
            <w:r>
              <w:rPr>
                <w:rFonts w:hint="eastAsia" w:ascii="ＭＳ 明朝" w:hAnsi="ＭＳ 明朝" w:eastAsia="ＭＳ 明朝"/>
                <w:color w:val="auto"/>
              </w:rPr>
              <w:t>・リース契約書</w:t>
            </w:r>
          </w:p>
        </w:tc>
        <w:tc>
          <w:tcPr>
            <w:tcW w:w="580" w:type="dxa"/>
            <w:vAlign w:val="center"/>
          </w:tcPr>
          <w:p>
            <w:pPr>
              <w:pStyle w:val="0"/>
              <w:jc w:val="center"/>
              <w:rPr>
                <w:rFonts w:hint="default"/>
                <w:color w:val="auto"/>
                <w:sz w:val="24"/>
              </w:rPr>
            </w:pPr>
            <w:sdt>
              <w:sdtPr>
                <w:rPr>
                  <w:rFonts w:hint="default"/>
                  <w:color w:val="auto"/>
                  <w:sz w:val="24"/>
                </w:rPr>
                <w:id w:val="-100836696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86000974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7290237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632"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法人がリース取引</w:t>
            </w:r>
            <w:r>
              <w:rPr>
                <w:rFonts w:hint="eastAsia" w:ascii="ＭＳ 明朝" w:hAnsi="ＭＳ 明朝" w:eastAsia="ＭＳ 明朝"/>
                <w:color w:val="auto"/>
                <w:sz w:val="20"/>
              </w:rPr>
              <w:t>(</w:t>
            </w:r>
            <w:r>
              <w:rPr>
                <w:rFonts w:hint="eastAsia" w:ascii="ＭＳ 明朝" w:hAnsi="ＭＳ 明朝" w:eastAsia="ＭＳ 明朝"/>
                <w:color w:val="auto"/>
                <w:sz w:val="20"/>
              </w:rPr>
              <w:t>契約上賃貸借となっているものも含む</w:t>
            </w:r>
            <w:r>
              <w:rPr>
                <w:rFonts w:hint="eastAsia" w:ascii="ＭＳ 明朝" w:hAnsi="ＭＳ 明朝" w:eastAsia="ＭＳ 明朝"/>
                <w:color w:val="auto"/>
                <w:sz w:val="20"/>
              </w:rPr>
              <w:t>)</w:t>
            </w:r>
            <w:r>
              <w:rPr>
                <w:rFonts w:hint="eastAsia" w:ascii="ＭＳ 明朝" w:hAnsi="ＭＳ 明朝" w:eastAsia="ＭＳ 明朝"/>
                <w:color w:val="auto"/>
                <w:sz w:val="20"/>
              </w:rPr>
              <w:t>に係る借手である場合に、オペレーティング・リース取引及び契約総額が</w:t>
            </w:r>
            <w:r>
              <w:rPr>
                <w:rFonts w:hint="eastAsia" w:ascii="ＭＳ 明朝" w:hAnsi="ＭＳ 明朝" w:eastAsia="ＭＳ 明朝"/>
                <w:color w:val="auto"/>
                <w:sz w:val="20"/>
              </w:rPr>
              <w:t>300</w:t>
            </w:r>
            <w:r>
              <w:rPr>
                <w:rFonts w:hint="eastAsia" w:ascii="ＭＳ 明朝" w:hAnsi="ＭＳ 明朝" w:eastAsia="ＭＳ 明朝"/>
                <w:color w:val="auto"/>
                <w:sz w:val="20"/>
              </w:rPr>
              <w:t>万円未満となるファイナンス・リース取引について、通常の賃貸借取引に係る方法に準じて会計処理を行っているか。</w:t>
            </w:r>
          </w:p>
          <w:p>
            <w:pPr>
              <w:pStyle w:val="0"/>
              <w:rPr>
                <w:rFonts w:hint="default" w:ascii="ＭＳ 明朝" w:hAnsi="ＭＳ 明朝" w:eastAsia="ＭＳ 明朝"/>
                <w:color w:val="auto"/>
                <w:sz w:val="20"/>
              </w:rPr>
            </w:pPr>
          </w:p>
        </w:tc>
        <w:tc>
          <w:tcPr>
            <w:tcW w:w="1910"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・リース資産管理台帳</w:t>
            </w:r>
          </w:p>
          <w:p>
            <w:pPr>
              <w:pStyle w:val="0"/>
              <w:rPr>
                <w:rFonts w:hint="default" w:ascii="ＭＳ 明朝" w:hAnsi="ＭＳ 明朝" w:eastAsia="ＭＳ 明朝"/>
                <w:color w:val="auto"/>
              </w:rPr>
            </w:pPr>
            <w:r>
              <w:rPr>
                <w:rFonts w:hint="eastAsia" w:ascii="ＭＳ 明朝" w:hAnsi="ＭＳ 明朝" w:eastAsia="ＭＳ 明朝"/>
                <w:color w:val="auto"/>
              </w:rPr>
              <w:t>・リース契約書</w:t>
            </w:r>
          </w:p>
        </w:tc>
        <w:tc>
          <w:tcPr>
            <w:tcW w:w="580" w:type="dxa"/>
            <w:vAlign w:val="center"/>
          </w:tcPr>
          <w:p>
            <w:pPr>
              <w:pStyle w:val="0"/>
              <w:jc w:val="center"/>
              <w:rPr>
                <w:rFonts w:hint="default"/>
                <w:color w:val="auto"/>
                <w:sz w:val="24"/>
              </w:rPr>
            </w:pPr>
            <w:sdt>
              <w:sdtPr>
                <w:rPr>
                  <w:rFonts w:hint="default"/>
                  <w:color w:val="auto"/>
                  <w:sz w:val="24"/>
                </w:rPr>
                <w:id w:val="161656126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23092237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37801552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引当金</w:t>
            </w:r>
          </w:p>
        </w:tc>
        <w:tc>
          <w:tcPr>
            <w:tcW w:w="4629" w:type="dxa"/>
            <w:vAlign w:val="top"/>
          </w:tcPr>
          <w:p>
            <w:pPr>
              <w:pStyle w:val="0"/>
              <w:rPr>
                <w:rFonts w:hint="default" w:ascii="Century" w:hAnsi="Century" w:eastAsia="ＭＳ 明朝"/>
                <w:color w:val="auto"/>
                <w:sz w:val="20"/>
              </w:rPr>
            </w:pPr>
            <w:r>
              <w:rPr>
                <w:rFonts w:hint="eastAsia" w:ascii="Century" w:hAnsi="Century" w:eastAsia="ＭＳ 明朝"/>
                <w:color w:val="auto"/>
                <w:sz w:val="20"/>
              </w:rPr>
              <w:t>引当金明細書（退職給付引当金については台帳）を作成し、引当金の管理を行っているか。</w:t>
            </w:r>
          </w:p>
        </w:tc>
        <w:tc>
          <w:tcPr>
            <w:tcW w:w="1909" w:type="dxa"/>
            <w:vAlign w:val="top"/>
          </w:tcPr>
          <w:p>
            <w:pPr>
              <w:pStyle w:val="0"/>
              <w:rPr>
                <w:rFonts w:hint="default" w:ascii="Century" w:hAnsi="Century" w:eastAsia="ＭＳ 明朝"/>
                <w:color w:val="auto"/>
              </w:rPr>
            </w:pPr>
            <w:r>
              <w:rPr>
                <w:rFonts w:hint="eastAsia" w:ascii="Century" w:hAnsi="Century" w:eastAsia="ＭＳ 明朝"/>
                <w:color w:val="auto"/>
              </w:rPr>
              <w:t>・引当金明細書</w:t>
            </w:r>
          </w:p>
          <w:p>
            <w:pPr>
              <w:pStyle w:val="0"/>
              <w:rPr>
                <w:rFonts w:hint="default" w:ascii="Century" w:hAnsi="Century" w:eastAsia="ＭＳ 明朝"/>
                <w:color w:val="auto"/>
              </w:rPr>
            </w:pPr>
            <w:r>
              <w:rPr>
                <w:rFonts w:hint="eastAsia" w:ascii="Century" w:hAnsi="Century" w:eastAsia="ＭＳ 明朝"/>
                <w:color w:val="auto"/>
              </w:rPr>
              <w:t>・退職給付引当金台帳</w:t>
            </w:r>
          </w:p>
        </w:tc>
        <w:tc>
          <w:tcPr>
            <w:tcW w:w="579" w:type="dxa"/>
            <w:vAlign w:val="center"/>
          </w:tcPr>
          <w:p>
            <w:pPr>
              <w:pStyle w:val="0"/>
              <w:jc w:val="center"/>
              <w:rPr>
                <w:rFonts w:hint="default"/>
                <w:color w:val="auto"/>
                <w:sz w:val="24"/>
              </w:rPr>
            </w:pPr>
            <w:sdt>
              <w:sdtPr>
                <w:rPr>
                  <w:rFonts w:hint="default"/>
                  <w:color w:val="auto"/>
                  <w:sz w:val="24"/>
                </w:rPr>
                <w:id w:val="26073077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70844049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60033825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jc w:val="center"/>
              <w:rPr>
                <w:rFonts w:hint="default" w:ascii="ＭＳ 明朝" w:hAnsi="ＭＳ 明朝" w:eastAsia="ＭＳ 明朝"/>
                <w:sz w:val="20"/>
              </w:rPr>
            </w:pPr>
          </w:p>
        </w:tc>
        <w:tc>
          <w:tcPr>
            <w:tcW w:w="4629" w:type="dxa"/>
            <w:vAlign w:val="top"/>
          </w:tcPr>
          <w:p>
            <w:pPr>
              <w:pStyle w:val="0"/>
              <w:rPr>
                <w:rFonts w:hint="default" w:ascii="Century" w:hAnsi="Century" w:eastAsia="ＭＳ 明朝"/>
                <w:color w:val="auto"/>
                <w:sz w:val="20"/>
              </w:rPr>
            </w:pPr>
            <w:r>
              <w:rPr>
                <w:rFonts w:hint="eastAsia" w:ascii="Century" w:hAnsi="Century" w:eastAsia="ＭＳ 明朝"/>
                <w:color w:val="auto"/>
                <w:sz w:val="20"/>
              </w:rPr>
              <w:t>引当金の計算は適正に行われているか。</w:t>
            </w:r>
          </w:p>
        </w:tc>
        <w:tc>
          <w:tcPr>
            <w:tcW w:w="1909" w:type="dxa"/>
            <w:vAlign w:val="top"/>
          </w:tcPr>
          <w:p>
            <w:pPr>
              <w:pStyle w:val="0"/>
              <w:rPr>
                <w:rFonts w:hint="default" w:ascii="Century" w:hAnsi="Century" w:eastAsia="ＭＳ 明朝"/>
                <w:color w:val="auto"/>
              </w:rPr>
            </w:pPr>
            <w:r>
              <w:rPr>
                <w:rFonts w:hint="eastAsia" w:ascii="Century" w:hAnsi="Century" w:eastAsia="ＭＳ 明朝"/>
                <w:color w:val="auto"/>
              </w:rPr>
              <w:t>・総勘定元帳</w:t>
            </w:r>
          </w:p>
          <w:p>
            <w:pPr>
              <w:pStyle w:val="0"/>
              <w:rPr>
                <w:rFonts w:hint="default" w:ascii="Century" w:hAnsi="Century" w:eastAsia="ＭＳ 明朝"/>
                <w:color w:val="auto"/>
              </w:rPr>
            </w:pPr>
            <w:r>
              <w:rPr>
                <w:rFonts w:hint="eastAsia" w:ascii="Century" w:hAnsi="Century" w:eastAsia="ＭＳ 明朝"/>
                <w:color w:val="auto"/>
              </w:rPr>
              <w:t>・仕訳日記帳</w:t>
            </w:r>
          </w:p>
          <w:p>
            <w:pPr>
              <w:pStyle w:val="0"/>
              <w:rPr>
                <w:rFonts w:hint="default" w:ascii="Century" w:hAnsi="Century" w:eastAsia="ＭＳ 明朝"/>
                <w:color w:val="auto"/>
              </w:rPr>
            </w:pPr>
            <w:r>
              <w:rPr>
                <w:rFonts w:hint="eastAsia" w:ascii="Century" w:hAnsi="Century" w:eastAsia="ＭＳ 明朝"/>
                <w:color w:val="auto"/>
              </w:rPr>
              <w:t>・執行伺書</w:t>
            </w:r>
          </w:p>
        </w:tc>
        <w:tc>
          <w:tcPr>
            <w:tcW w:w="579" w:type="dxa"/>
            <w:vAlign w:val="center"/>
          </w:tcPr>
          <w:p>
            <w:pPr>
              <w:pStyle w:val="0"/>
              <w:jc w:val="center"/>
              <w:rPr>
                <w:rFonts w:hint="default"/>
                <w:color w:val="auto"/>
                <w:sz w:val="24"/>
              </w:rPr>
            </w:pPr>
            <w:sdt>
              <w:sdtPr>
                <w:rPr>
                  <w:rFonts w:hint="default"/>
                  <w:color w:val="auto"/>
                  <w:sz w:val="24"/>
                </w:rPr>
                <w:id w:val="-156786939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60276581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60276581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Century" w:hAnsi="Century" w:eastAsia="ＭＳ 明朝"/>
                <w:color w:val="auto"/>
                <w:sz w:val="20"/>
              </w:rPr>
            </w:pPr>
            <w:r>
              <w:rPr>
                <w:rFonts w:hint="eastAsia" w:ascii="Century" w:hAnsi="Century" w:eastAsia="ＭＳ 明朝"/>
                <w:color w:val="auto"/>
                <w:sz w:val="20"/>
              </w:rPr>
              <w:t>退職給付制度を設けている場合に、退職給付引当金と同額を、退職給付引当資産として固定資産に計上しているか。（福祉医療機構等が運営する退職給付共済制度に事業者負担分を経費として支出する場合を除く。）</w:t>
            </w:r>
          </w:p>
        </w:tc>
        <w:tc>
          <w:tcPr>
            <w:tcW w:w="1909" w:type="dxa"/>
            <w:vAlign w:val="top"/>
          </w:tcPr>
          <w:p>
            <w:pPr>
              <w:pStyle w:val="0"/>
              <w:rPr>
                <w:rFonts w:hint="default" w:ascii="Century" w:hAnsi="Century" w:eastAsia="ＭＳ 明朝"/>
                <w:color w:val="auto"/>
              </w:rPr>
            </w:pPr>
            <w:r>
              <w:rPr>
                <w:rFonts w:hint="eastAsia" w:ascii="Century" w:hAnsi="Century" w:eastAsia="ＭＳ 明朝"/>
                <w:color w:val="auto"/>
              </w:rPr>
              <w:t>・</w:t>
            </w:r>
            <w:r>
              <w:rPr>
                <w:rFonts w:hint="eastAsia" w:ascii="ＭＳ 明朝" w:hAnsi="ＭＳ 明朝" w:eastAsia="ＭＳ 明朝"/>
                <w:color w:val="auto"/>
              </w:rPr>
              <w:t>仕訳日記帳</w:t>
            </w:r>
          </w:p>
          <w:p>
            <w:pPr>
              <w:pStyle w:val="0"/>
              <w:rPr>
                <w:rFonts w:hint="default" w:ascii="Century" w:hAnsi="Century" w:eastAsia="ＭＳ 明朝"/>
                <w:color w:val="auto"/>
              </w:rPr>
            </w:pPr>
            <w:r>
              <w:rPr>
                <w:rFonts w:hint="eastAsia" w:ascii="Century" w:hAnsi="Century" w:eastAsia="ＭＳ 明朝"/>
                <w:color w:val="auto"/>
              </w:rPr>
              <w:t>・経理規程</w:t>
            </w:r>
          </w:p>
          <w:p>
            <w:pPr>
              <w:pStyle w:val="0"/>
              <w:rPr>
                <w:rFonts w:hint="default" w:ascii="Century" w:hAnsi="Century" w:eastAsia="ＭＳ 明朝"/>
                <w:color w:val="auto"/>
              </w:rPr>
            </w:pPr>
            <w:r>
              <w:rPr>
                <w:rFonts w:hint="eastAsia" w:ascii="Century" w:hAnsi="Century" w:eastAsia="ＭＳ 明朝"/>
                <w:color w:val="auto"/>
              </w:rPr>
              <w:t>・経理規程細則</w:t>
            </w:r>
          </w:p>
          <w:p>
            <w:pPr>
              <w:pStyle w:val="0"/>
              <w:rPr>
                <w:rFonts w:hint="default" w:ascii="Century" w:hAnsi="Century" w:eastAsia="ＭＳ 明朝"/>
                <w:color w:val="auto"/>
              </w:rPr>
            </w:pPr>
            <w:r>
              <w:rPr>
                <w:rFonts w:hint="eastAsia" w:ascii="Century" w:hAnsi="Century" w:eastAsia="ＭＳ 明朝"/>
                <w:color w:val="auto"/>
              </w:rPr>
              <w:t>・引当金明細書</w:t>
            </w:r>
          </w:p>
        </w:tc>
        <w:tc>
          <w:tcPr>
            <w:tcW w:w="579" w:type="dxa"/>
            <w:vAlign w:val="center"/>
          </w:tcPr>
          <w:p>
            <w:pPr>
              <w:pStyle w:val="0"/>
              <w:jc w:val="center"/>
              <w:rPr>
                <w:rFonts w:hint="default"/>
                <w:color w:val="auto"/>
                <w:sz w:val="24"/>
              </w:rPr>
            </w:pPr>
            <w:sdt>
              <w:sdtPr>
                <w:rPr>
                  <w:rFonts w:hint="default"/>
                  <w:color w:val="auto"/>
                  <w:sz w:val="24"/>
                </w:rPr>
                <w:id w:val="-97113692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72175376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80122342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役員等報酬基準に役員に対する退職慰労金の支給について規定している場合に、固定負債の部に役員等退職慰労金引当金を計上しているか。</w:t>
            </w:r>
          </w:p>
        </w:tc>
        <w:tc>
          <w:tcPr>
            <w:tcW w:w="1909" w:type="dxa"/>
            <w:vAlign w:val="top"/>
          </w:tcPr>
          <w:p>
            <w:pPr>
              <w:pStyle w:val="0"/>
              <w:rPr>
                <w:rFonts w:hint="default" w:ascii="Century" w:hAnsi="Century" w:eastAsia="ＭＳ 明朝"/>
                <w:color w:val="auto"/>
              </w:rPr>
            </w:pPr>
            <w:r>
              <w:rPr>
                <w:rFonts w:hint="eastAsia" w:ascii="Century" w:hAnsi="Century" w:eastAsia="ＭＳ 明朝"/>
                <w:color w:val="auto"/>
              </w:rPr>
              <w:t>・</w:t>
            </w:r>
            <w:r>
              <w:rPr>
                <w:rFonts w:hint="eastAsia" w:ascii="ＭＳ 明朝" w:hAnsi="ＭＳ 明朝" w:eastAsia="ＭＳ 明朝"/>
                <w:color w:val="auto"/>
              </w:rPr>
              <w:t>仕訳日記帳</w:t>
            </w:r>
          </w:p>
          <w:p>
            <w:pPr>
              <w:pStyle w:val="0"/>
              <w:rPr>
                <w:rFonts w:hint="default" w:ascii="Century" w:hAnsi="Century" w:eastAsia="ＭＳ 明朝"/>
                <w:color w:val="auto"/>
              </w:rPr>
            </w:pPr>
            <w:r>
              <w:rPr>
                <w:rFonts w:hint="eastAsia" w:ascii="Century" w:hAnsi="Century" w:eastAsia="ＭＳ 明朝"/>
                <w:color w:val="auto"/>
              </w:rPr>
              <w:t>・経理規程</w:t>
            </w:r>
          </w:p>
          <w:p>
            <w:pPr>
              <w:pStyle w:val="0"/>
              <w:rPr>
                <w:rFonts w:hint="default" w:ascii="Century" w:hAnsi="Century" w:eastAsia="ＭＳ 明朝"/>
                <w:color w:val="auto"/>
              </w:rPr>
            </w:pPr>
            <w:r>
              <w:rPr>
                <w:rFonts w:hint="eastAsia" w:ascii="Century" w:hAnsi="Century" w:eastAsia="ＭＳ 明朝"/>
                <w:color w:val="auto"/>
              </w:rPr>
              <w:t>・経理規程細則</w:t>
            </w:r>
          </w:p>
          <w:p>
            <w:pPr>
              <w:pStyle w:val="0"/>
              <w:rPr>
                <w:rFonts w:hint="default" w:ascii="Century" w:hAnsi="Century" w:eastAsia="ＭＳ 明朝"/>
                <w:color w:val="auto"/>
              </w:rPr>
            </w:pPr>
            <w:r>
              <w:rPr>
                <w:rFonts w:hint="eastAsia" w:ascii="Century" w:hAnsi="Century" w:eastAsia="ＭＳ 明朝"/>
                <w:color w:val="auto"/>
              </w:rPr>
              <w:t>・引当金明細書</w:t>
            </w:r>
          </w:p>
        </w:tc>
        <w:tc>
          <w:tcPr>
            <w:tcW w:w="579" w:type="dxa"/>
            <w:vAlign w:val="center"/>
          </w:tcPr>
          <w:p>
            <w:pPr>
              <w:pStyle w:val="0"/>
              <w:jc w:val="center"/>
              <w:rPr>
                <w:rFonts w:hint="default"/>
                <w:color w:val="auto"/>
                <w:sz w:val="24"/>
              </w:rPr>
            </w:pPr>
            <w:sdt>
              <w:sdtPr>
                <w:rPr>
                  <w:rFonts w:hint="default"/>
                  <w:color w:val="auto"/>
                  <w:sz w:val="24"/>
                </w:rPr>
                <w:id w:val="129541159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80238148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85352665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318" w:hRule="atLeast"/>
        </w:trPr>
        <w:tc>
          <w:tcPr>
            <w:tcW w:w="1351" w:type="dxa"/>
            <w:vMerge w:val="continue"/>
            <w:vAlign w:val="center"/>
          </w:tcPr>
          <w:p>
            <w:pPr>
              <w:pStyle w:val="0"/>
              <w:rPr>
                <w:rFonts w:hint="eastAsia"/>
              </w:rPr>
            </w:pPr>
          </w:p>
        </w:tc>
        <w:tc>
          <w:tcPr>
            <w:tcW w:w="4629" w:type="dxa"/>
            <w:vAlign w:val="top"/>
          </w:tcPr>
          <w:p>
            <w:pPr>
              <w:pStyle w:val="0"/>
              <w:rPr>
                <w:rFonts w:hint="default" w:ascii="Century" w:hAnsi="Century" w:eastAsia="ＭＳ 明朝"/>
                <w:color w:val="auto"/>
                <w:sz w:val="20"/>
              </w:rPr>
            </w:pPr>
            <w:r>
              <w:rPr>
                <w:rFonts w:hint="eastAsia" w:ascii="Century" w:hAnsi="Century" w:eastAsia="ＭＳ 明朝"/>
                <w:color w:val="auto"/>
                <w:sz w:val="20"/>
              </w:rPr>
              <w:t>将来の特定の費用又は損失で、発生が当期以前の事象に起因し、発生の可能性が高く、かつ、その金額を合理的に見積ることができる取引がある場合に、当該取引に係る引当金を計上しているか。</w:t>
            </w:r>
          </w:p>
        </w:tc>
        <w:tc>
          <w:tcPr>
            <w:tcW w:w="1909" w:type="dxa"/>
            <w:vAlign w:val="top"/>
          </w:tcPr>
          <w:p>
            <w:pPr>
              <w:pStyle w:val="0"/>
              <w:rPr>
                <w:rFonts w:hint="default" w:ascii="Century" w:hAnsi="Century" w:eastAsia="ＭＳ 明朝"/>
                <w:color w:val="auto"/>
              </w:rPr>
            </w:pPr>
            <w:r>
              <w:rPr>
                <w:rFonts w:hint="eastAsia" w:ascii="Century" w:hAnsi="Century" w:eastAsia="ＭＳ 明朝"/>
                <w:color w:val="auto"/>
              </w:rPr>
              <w:t>・</w:t>
            </w:r>
            <w:r>
              <w:rPr>
                <w:rFonts w:hint="eastAsia" w:ascii="ＭＳ 明朝" w:hAnsi="ＭＳ 明朝" w:eastAsia="ＭＳ 明朝"/>
                <w:color w:val="auto"/>
              </w:rPr>
              <w:t>仕訳日記帳</w:t>
            </w:r>
          </w:p>
          <w:p>
            <w:pPr>
              <w:pStyle w:val="0"/>
              <w:rPr>
                <w:rFonts w:hint="default" w:ascii="Century" w:hAnsi="Century" w:eastAsia="ＭＳ 明朝"/>
                <w:color w:val="auto"/>
              </w:rPr>
            </w:pPr>
            <w:r>
              <w:rPr>
                <w:rFonts w:hint="eastAsia" w:ascii="Century" w:hAnsi="Century" w:eastAsia="ＭＳ 明朝"/>
                <w:color w:val="auto"/>
              </w:rPr>
              <w:t>・経理規程</w:t>
            </w:r>
          </w:p>
          <w:p>
            <w:pPr>
              <w:pStyle w:val="0"/>
              <w:rPr>
                <w:rFonts w:hint="default" w:ascii="Century" w:hAnsi="Century" w:eastAsia="ＭＳ 明朝"/>
                <w:color w:val="auto"/>
              </w:rPr>
            </w:pPr>
            <w:r>
              <w:rPr>
                <w:rFonts w:hint="eastAsia" w:ascii="Century" w:hAnsi="Century" w:eastAsia="ＭＳ 明朝"/>
                <w:color w:val="auto"/>
              </w:rPr>
              <w:t>・経理規程細則</w:t>
            </w:r>
          </w:p>
          <w:p>
            <w:pPr>
              <w:pStyle w:val="0"/>
              <w:rPr>
                <w:rFonts w:hint="default" w:ascii="Century" w:hAnsi="Century" w:eastAsia="ＭＳ 明朝"/>
                <w:color w:val="auto"/>
              </w:rPr>
            </w:pPr>
            <w:r>
              <w:rPr>
                <w:rFonts w:hint="eastAsia" w:ascii="Century" w:hAnsi="Century" w:eastAsia="ＭＳ 明朝"/>
                <w:color w:val="auto"/>
              </w:rPr>
              <w:t>・引当金明細書</w:t>
            </w:r>
          </w:p>
        </w:tc>
        <w:tc>
          <w:tcPr>
            <w:tcW w:w="579" w:type="dxa"/>
            <w:vAlign w:val="center"/>
          </w:tcPr>
          <w:p>
            <w:pPr>
              <w:pStyle w:val="0"/>
              <w:jc w:val="center"/>
              <w:rPr>
                <w:rFonts w:hint="default"/>
                <w:color w:val="auto"/>
                <w:sz w:val="24"/>
              </w:rPr>
            </w:pPr>
            <w:sdt>
              <w:sdtPr>
                <w:rPr>
                  <w:rFonts w:hint="default"/>
                  <w:color w:val="auto"/>
                  <w:sz w:val="24"/>
                </w:rPr>
                <w:id w:val="-206239491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208818787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84461982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662" w:hRule="atLeast"/>
        </w:trPr>
        <w:tc>
          <w:tcPr>
            <w:tcW w:w="135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sz w:val="20"/>
              </w:rPr>
              <w:t>基本金</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基本金台帳（又は基本金明細書）を作成しているか。</w:t>
            </w:r>
          </w:p>
          <w:p>
            <w:pPr>
              <w:pStyle w:val="0"/>
              <w:rPr>
                <w:rFonts w:hint="default" w:ascii="ＭＳ 明朝" w:hAnsi="ＭＳ 明朝" w:eastAsia="ＭＳ 明朝"/>
                <w:color w:val="auto"/>
                <w:sz w:val="20"/>
              </w:rPr>
            </w:pP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・基本金台帳</w:t>
            </w:r>
          </w:p>
          <w:p>
            <w:pPr>
              <w:pStyle w:val="0"/>
              <w:rPr>
                <w:rFonts w:hint="default" w:ascii="ＭＳ 明朝" w:hAnsi="ＭＳ 明朝" w:eastAsia="ＭＳ 明朝"/>
                <w:color w:val="auto"/>
              </w:rPr>
            </w:pPr>
            <w:r>
              <w:rPr>
                <w:rFonts w:hint="eastAsia" w:ascii="ＭＳ 明朝" w:hAnsi="ＭＳ 明朝" w:eastAsia="ＭＳ 明朝"/>
                <w:color w:val="auto"/>
              </w:rPr>
              <w:t>・寄附金台帳</w:t>
            </w:r>
          </w:p>
        </w:tc>
        <w:tc>
          <w:tcPr>
            <w:tcW w:w="579" w:type="dxa"/>
            <w:vAlign w:val="center"/>
          </w:tcPr>
          <w:p>
            <w:pPr>
              <w:pStyle w:val="0"/>
              <w:jc w:val="center"/>
              <w:rPr>
                <w:rFonts w:hint="default"/>
                <w:color w:val="auto"/>
                <w:sz w:val="24"/>
              </w:rPr>
            </w:pPr>
            <w:sdt>
              <w:sdtPr>
                <w:rPr>
                  <w:rFonts w:hint="default"/>
                  <w:color w:val="auto"/>
                  <w:sz w:val="24"/>
                </w:rPr>
                <w:id w:val="-204157647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79309188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trHeight w:val="1352"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基本金に繰り入れる寄附金を受け入れた場合に、当該寄附金を、寄附の目的に従って、第</w:t>
            </w:r>
            <w:r>
              <w:rPr>
                <w:rFonts w:hint="eastAsia" w:ascii="ＭＳ 明朝" w:hAnsi="ＭＳ 明朝" w:eastAsia="ＭＳ 明朝"/>
                <w:color w:val="auto"/>
                <w:sz w:val="20"/>
              </w:rPr>
              <w:t>1</w:t>
            </w:r>
            <w:r>
              <w:rPr>
                <w:rFonts w:hint="eastAsia" w:ascii="ＭＳ 明朝" w:hAnsi="ＭＳ 明朝" w:eastAsia="ＭＳ 明朝"/>
                <w:color w:val="auto"/>
                <w:sz w:val="20"/>
              </w:rPr>
              <w:t>号～第</w:t>
            </w:r>
            <w:r>
              <w:rPr>
                <w:rFonts w:hint="eastAsia" w:ascii="ＭＳ 明朝" w:hAnsi="ＭＳ 明朝" w:eastAsia="ＭＳ 明朝"/>
                <w:color w:val="auto"/>
                <w:sz w:val="20"/>
              </w:rPr>
              <w:t>3</w:t>
            </w:r>
            <w:r>
              <w:rPr>
                <w:rFonts w:hint="eastAsia" w:ascii="ＭＳ 明朝" w:hAnsi="ＭＳ 明朝" w:eastAsia="ＭＳ 明朝"/>
                <w:color w:val="auto"/>
                <w:sz w:val="20"/>
              </w:rPr>
              <w:t>号の基本金として計上しているか。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・計算書類</w:t>
            </w:r>
          </w:p>
          <w:p>
            <w:pPr>
              <w:pStyle w:val="0"/>
              <w:rPr>
                <w:rFonts w:hint="default" w:ascii="ＭＳ 明朝" w:hAnsi="ＭＳ 明朝" w:eastAsia="ＭＳ 明朝"/>
                <w:color w:val="auto"/>
              </w:rPr>
            </w:pPr>
            <w:r>
              <w:rPr>
                <w:rFonts w:hint="eastAsia" w:ascii="ＭＳ 明朝" w:hAnsi="ＭＳ 明朝" w:eastAsia="ＭＳ 明朝"/>
                <w:color w:val="auto"/>
              </w:rPr>
              <w:t>・基本金明細書</w:t>
            </w:r>
          </w:p>
          <w:p>
            <w:pPr>
              <w:pStyle w:val="0"/>
              <w:rPr>
                <w:rFonts w:hint="default" w:ascii="ＭＳ 明朝" w:hAnsi="ＭＳ 明朝" w:eastAsia="ＭＳ 明朝"/>
                <w:color w:val="auto"/>
              </w:rPr>
            </w:pPr>
            <w:r>
              <w:rPr>
                <w:rFonts w:hint="eastAsia" w:ascii="ＭＳ 明朝" w:hAnsi="ＭＳ 明朝" w:eastAsia="ＭＳ 明朝"/>
                <w:color w:val="auto"/>
              </w:rPr>
              <w:t>・寄附申込書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・仕訳日記帳等</w:t>
            </w:r>
          </w:p>
        </w:tc>
        <w:tc>
          <w:tcPr>
            <w:tcW w:w="579" w:type="dxa"/>
            <w:vAlign w:val="center"/>
          </w:tcPr>
          <w:p>
            <w:pPr>
              <w:pStyle w:val="0"/>
              <w:jc w:val="center"/>
              <w:rPr>
                <w:rFonts w:hint="default"/>
                <w:color w:val="auto"/>
                <w:sz w:val="24"/>
              </w:rPr>
            </w:pPr>
            <w:sdt>
              <w:sdtPr>
                <w:rPr>
                  <w:rFonts w:hint="default"/>
                  <w:color w:val="auto"/>
                  <w:sz w:val="24"/>
                </w:rPr>
                <w:id w:val="67955732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75224877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65924051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trHeight w:val="1965"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法人が事業開始等に当たって財源として受け入れた寄附金について、基本金に計上する際の経理処理において、寄附金を事業活動計算書の特別収益に計上した上で、同額を基本金組入額として特別費用に計上しているか。</w:t>
            </w:r>
          </w:p>
          <w:p>
            <w:pPr>
              <w:pStyle w:val="0"/>
              <w:rPr>
                <w:rFonts w:hint="default" w:ascii="ＭＳ 明朝" w:hAnsi="ＭＳ 明朝" w:eastAsia="ＭＳ 明朝"/>
                <w:color w:val="auto"/>
                <w:sz w:val="20"/>
              </w:rPr>
            </w:pP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・寄附申込書</w:t>
            </w:r>
          </w:p>
          <w:p>
            <w:pPr>
              <w:pStyle w:val="0"/>
              <w:rPr>
                <w:rFonts w:hint="default" w:ascii="ＭＳ 明朝" w:hAnsi="ＭＳ 明朝" w:eastAsia="ＭＳ 明朝"/>
                <w:color w:val="auto"/>
              </w:rPr>
            </w:pPr>
            <w:r>
              <w:rPr>
                <w:rFonts w:hint="eastAsia" w:ascii="ＭＳ 明朝" w:hAnsi="ＭＳ 明朝" w:eastAsia="ＭＳ 明朝"/>
                <w:color w:val="auto"/>
              </w:rPr>
              <w:t>・伺書（稟議書）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・寄附金品台帳</w:t>
            </w:r>
          </w:p>
          <w:p>
            <w:pPr>
              <w:pStyle w:val="0"/>
              <w:rPr>
                <w:rFonts w:hint="default" w:ascii="ＭＳ 明朝" w:hAnsi="ＭＳ 明朝" w:eastAsia="ＭＳ 明朝"/>
                <w:color w:val="auto"/>
              </w:rPr>
            </w:pPr>
            <w:r>
              <w:rPr>
                <w:rFonts w:hint="eastAsia" w:ascii="ＭＳ 明朝" w:hAnsi="ＭＳ 明朝" w:eastAsia="ＭＳ 明朝"/>
                <w:color w:val="auto"/>
              </w:rPr>
              <w:t>・基本金台帳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79" w:type="dxa"/>
            <w:vAlign w:val="center"/>
          </w:tcPr>
          <w:p>
            <w:pPr>
              <w:pStyle w:val="0"/>
              <w:jc w:val="center"/>
              <w:rPr>
                <w:rFonts w:hint="default"/>
                <w:color w:val="auto"/>
                <w:sz w:val="24"/>
              </w:rPr>
            </w:pPr>
            <w:sdt>
              <w:sdtPr>
                <w:rPr>
                  <w:rFonts w:hint="default"/>
                  <w:color w:val="auto"/>
                  <w:sz w:val="24"/>
                </w:rPr>
                <w:id w:val="48104983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14476967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83415261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1324"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事業を廃止し、かつ、当該事業に係る基本財産の廃棄等を行った場合に、当該事業の属する拠点区分において廃棄等を行った基本財産に相当する額を、基本金から取崩す会計処理を行っているか。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・基本金台帳</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79" w:type="dxa"/>
            <w:vAlign w:val="center"/>
          </w:tcPr>
          <w:p>
            <w:pPr>
              <w:pStyle w:val="0"/>
              <w:jc w:val="center"/>
              <w:rPr>
                <w:rFonts w:hint="default"/>
                <w:color w:val="auto"/>
                <w:sz w:val="24"/>
              </w:rPr>
            </w:pPr>
            <w:sdt>
              <w:sdtPr>
                <w:rPr>
                  <w:rFonts w:hint="default"/>
                  <w:color w:val="auto"/>
                  <w:sz w:val="24"/>
                </w:rPr>
                <w:id w:val="-40976915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69096084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80542730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906"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基本金の取崩し、又は組み入れを行った場合に、基本金明細書にその状況を記載しているか。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・基本金台帳</w:t>
            </w:r>
          </w:p>
          <w:p>
            <w:pPr>
              <w:pStyle w:val="0"/>
              <w:rPr>
                <w:rFonts w:hint="default" w:ascii="ＭＳ 明朝" w:hAnsi="ＭＳ 明朝" w:eastAsia="ＭＳ 明朝"/>
                <w:color w:val="auto"/>
              </w:rPr>
            </w:pPr>
            <w:r>
              <w:rPr>
                <w:rFonts w:hint="eastAsia" w:ascii="ＭＳ 明朝" w:hAnsi="ＭＳ 明朝" w:eastAsia="ＭＳ 明朝"/>
                <w:color w:val="auto"/>
              </w:rPr>
              <w:t>・基本金明細書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79" w:type="dxa"/>
            <w:vAlign w:val="center"/>
          </w:tcPr>
          <w:p>
            <w:pPr>
              <w:pStyle w:val="0"/>
              <w:jc w:val="center"/>
              <w:rPr>
                <w:rFonts w:hint="default"/>
                <w:color w:val="auto"/>
                <w:sz w:val="24"/>
              </w:rPr>
            </w:pPr>
            <w:sdt>
              <w:sdtPr>
                <w:rPr>
                  <w:rFonts w:hint="default"/>
                  <w:color w:val="auto"/>
                  <w:sz w:val="24"/>
                </w:rPr>
                <w:id w:val="3948549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6758726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3077665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04" w:hRule="atLeast"/>
        </w:trPr>
        <w:tc>
          <w:tcPr>
            <w:tcW w:w="1351" w:type="dxa"/>
            <w:vMerge w:val="restart"/>
            <w:vAlign w:val="center"/>
          </w:tcPr>
          <w:p>
            <w:pPr>
              <w:pStyle w:val="0"/>
              <w:jc w:val="center"/>
              <w:rPr>
                <w:rFonts w:hint="default" w:ascii="ＭＳ 明朝" w:hAnsi="ＭＳ 明朝" w:eastAsia="ＭＳ 明朝"/>
                <w:color w:val="FF0000"/>
                <w:sz w:val="20"/>
              </w:rPr>
            </w:pPr>
            <w:r>
              <w:rPr>
                <w:rFonts w:hint="eastAsia" w:ascii="ＭＳ 明朝" w:hAnsi="ＭＳ 明朝" w:eastAsia="ＭＳ 明朝"/>
                <w:color w:val="auto"/>
                <w:sz w:val="20"/>
              </w:rPr>
              <w:t>国庫補助金等特別積立金</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国庫補助金等特別積立金明細表を作成して、積立金の管理（積み立て、取り崩し）を（会計基準に則り）適正に行っているか。</w:t>
            </w:r>
          </w:p>
        </w:tc>
        <w:tc>
          <w:tcPr>
            <w:tcW w:w="1909" w:type="dxa"/>
            <w:vAlign w:val="top"/>
          </w:tcPr>
          <w:p>
            <w:pPr>
              <w:pStyle w:val="0"/>
              <w:ind w:left="163" w:hanging="163" w:hangingChars="100"/>
              <w:rPr>
                <w:rFonts w:hint="default" w:ascii="ＭＳ 明朝" w:hAnsi="ＭＳ 明朝" w:eastAsia="ＭＳ 明朝"/>
                <w:color w:val="auto"/>
              </w:rPr>
            </w:pPr>
            <w:r>
              <w:rPr>
                <w:rFonts w:hint="eastAsia" w:ascii="ＭＳ 明朝" w:hAnsi="ＭＳ 明朝" w:eastAsia="ＭＳ 明朝"/>
                <w:color w:val="auto"/>
              </w:rPr>
              <w:t>・固定資産管理台帳</w:t>
            </w:r>
          </w:p>
          <w:p>
            <w:pPr>
              <w:pStyle w:val="0"/>
              <w:ind w:left="163" w:hanging="163" w:hangingChars="100"/>
              <w:rPr>
                <w:rFonts w:hint="default" w:ascii="ＭＳ 明朝" w:hAnsi="ＭＳ 明朝" w:eastAsia="ＭＳ 明朝"/>
                <w:color w:val="auto"/>
              </w:rPr>
            </w:pPr>
            <w:r>
              <w:rPr>
                <w:rFonts w:hint="eastAsia" w:ascii="ＭＳ 明朝" w:hAnsi="ＭＳ 明朝" w:eastAsia="ＭＳ 明朝"/>
                <w:color w:val="auto"/>
              </w:rPr>
              <w:t>・国庫補助金等特別積立金明細書</w:t>
            </w:r>
          </w:p>
        </w:tc>
        <w:tc>
          <w:tcPr>
            <w:tcW w:w="579" w:type="dxa"/>
            <w:vAlign w:val="center"/>
          </w:tcPr>
          <w:p>
            <w:pPr>
              <w:pStyle w:val="0"/>
              <w:jc w:val="center"/>
              <w:rPr>
                <w:rFonts w:hint="default"/>
                <w:color w:val="auto"/>
                <w:sz w:val="24"/>
              </w:rPr>
            </w:pPr>
            <w:sdt>
              <w:sdtPr>
                <w:rPr>
                  <w:rFonts w:hint="default"/>
                  <w:color w:val="auto"/>
                  <w:sz w:val="24"/>
                </w:rPr>
                <w:id w:val="137542693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77838235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47414240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26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国庫補助金等を受け入れた年度において、国庫補助金等の収入額を事業活動計算書の特別増減の部の収益（資金収支計算書においては施設整備等による収支の収入）に計上した上で、その収益に相当する額を国庫補助金等特別積立金積立額として事業活動計算書の特別増減の部の費用に計上し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79" w:type="dxa"/>
            <w:vAlign w:val="center"/>
          </w:tcPr>
          <w:p>
            <w:pPr>
              <w:pStyle w:val="0"/>
              <w:jc w:val="center"/>
              <w:rPr>
                <w:rFonts w:hint="default"/>
                <w:color w:val="auto"/>
                <w:sz w:val="24"/>
              </w:rPr>
            </w:pPr>
            <w:sdt>
              <w:sdtPr>
                <w:rPr>
                  <w:rFonts w:hint="default"/>
                  <w:color w:val="auto"/>
                  <w:sz w:val="24"/>
                </w:rPr>
                <w:id w:val="81322217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8847866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57657907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273"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国庫補助金等により取得した資産を減価償却する場合において、当該償却額に当該償却資産の取得時における国庫補助金等の充当割合を乗じた額を、国庫補助金等特別積立金から取り崩し、事業活動計算書のサービス活動の費用の部の控除項目として計上し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79" w:type="dxa"/>
            <w:vAlign w:val="center"/>
          </w:tcPr>
          <w:p>
            <w:pPr>
              <w:pStyle w:val="0"/>
              <w:jc w:val="center"/>
              <w:rPr>
                <w:rFonts w:hint="default"/>
                <w:color w:val="auto"/>
                <w:sz w:val="24"/>
              </w:rPr>
            </w:pPr>
            <w:sdt>
              <w:sdtPr>
                <w:rPr>
                  <w:rFonts w:hint="default"/>
                  <w:color w:val="auto"/>
                  <w:sz w:val="24"/>
                </w:rPr>
                <w:id w:val="-93682315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15394801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2447531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265"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国庫補助金等特別積立金の積立対象となった基本財産等を廃棄又は売却した場合において、当該資産の残存価格に当該償却資産の取得時における国庫補助金等の充当割合を乗じた額を、国庫補助金等特別積立金から取り崩し、事業活動計算書の特別増減の費用の部控除項目として計上し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79" w:type="dxa"/>
            <w:vAlign w:val="center"/>
          </w:tcPr>
          <w:p>
            <w:pPr>
              <w:pStyle w:val="0"/>
              <w:jc w:val="center"/>
              <w:rPr>
                <w:rFonts w:hint="default"/>
                <w:color w:val="auto"/>
                <w:sz w:val="24"/>
              </w:rPr>
            </w:pPr>
            <w:sdt>
              <w:sdtPr>
                <w:rPr>
                  <w:rFonts w:hint="default"/>
                  <w:color w:val="auto"/>
                  <w:sz w:val="24"/>
                </w:rPr>
                <w:id w:val="-42672924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40040712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97181670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265"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民間補助事業者から受け入れた資金により資産を取得した場合に、当該資金の受け入れ及び資産の管理及び処分に係る会計処理を適正に行っているか。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79" w:type="dxa"/>
            <w:vAlign w:val="center"/>
          </w:tcPr>
          <w:p>
            <w:pPr>
              <w:pStyle w:val="0"/>
              <w:jc w:val="center"/>
              <w:rPr>
                <w:rFonts w:hint="default"/>
                <w:color w:val="auto"/>
                <w:sz w:val="24"/>
              </w:rPr>
            </w:pPr>
            <w:sdt>
              <w:sdtPr>
                <w:rPr>
                  <w:rFonts w:hint="default"/>
                  <w:color w:val="auto"/>
                  <w:sz w:val="24"/>
                </w:rPr>
                <w:id w:val="-141076988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41076988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41076988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1244" w:hRule="atLeast"/>
        </w:trPr>
        <w:tc>
          <w:tcPr>
            <w:tcW w:w="135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ascii="ＭＳ 明朝" w:hAnsi="ＭＳ 明朝" w:eastAsia="ＭＳ 明朝"/>
                <w:color w:val="auto"/>
                <w:sz w:val="20"/>
              </w:rPr>
              <w:t>その他積立金</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その他積立金を積み立てている場合に、理事会の決議を経た上で積立ての目的を示す名称を付して積み立てるとともに、同額の積立資産を積立てているか。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79" w:type="dxa"/>
            <w:vAlign w:val="center"/>
          </w:tcPr>
          <w:p>
            <w:pPr>
              <w:pStyle w:val="0"/>
              <w:jc w:val="center"/>
              <w:rPr>
                <w:rFonts w:hint="default"/>
                <w:color w:val="auto"/>
                <w:sz w:val="24"/>
              </w:rPr>
            </w:pPr>
            <w:sdt>
              <w:sdtPr>
                <w:rPr>
                  <w:rFonts w:hint="default"/>
                  <w:color w:val="auto"/>
                  <w:sz w:val="24"/>
                </w:rPr>
                <w:id w:val="-202554330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26384067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84832734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44"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その他積立金に対応する積立資産を取り崩している場合に、対応する積立金についても同額を取崩しているか。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79" w:type="dxa"/>
            <w:vAlign w:val="center"/>
          </w:tcPr>
          <w:p>
            <w:pPr>
              <w:pStyle w:val="0"/>
              <w:jc w:val="center"/>
              <w:rPr>
                <w:rFonts w:hint="default"/>
                <w:color w:val="auto"/>
                <w:sz w:val="24"/>
              </w:rPr>
            </w:pPr>
            <w:sdt>
              <w:sdtPr>
                <w:rPr>
                  <w:rFonts w:hint="default"/>
                  <w:color w:val="auto"/>
                  <w:sz w:val="24"/>
                </w:rPr>
                <w:id w:val="-141076988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62851858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04371233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1010"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FF000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就労支援事業及び授産事業に関する積立をその他積立金に計上している場合に、各積立金の計上金額は、会計基準省令所定の要件を満たしているか。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tc>
        <w:tc>
          <w:tcPr>
            <w:tcW w:w="579" w:type="dxa"/>
            <w:vAlign w:val="center"/>
          </w:tcPr>
          <w:p>
            <w:pPr>
              <w:pStyle w:val="0"/>
              <w:jc w:val="center"/>
              <w:rPr>
                <w:rFonts w:hint="default"/>
                <w:color w:val="auto"/>
                <w:sz w:val="24"/>
              </w:rPr>
            </w:pPr>
            <w:sdt>
              <w:sdtPr>
                <w:rPr>
                  <w:rFonts w:hint="default"/>
                  <w:color w:val="auto"/>
                  <w:sz w:val="24"/>
                </w:rPr>
                <w:id w:val="169504201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31764458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5550458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906"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会計年度末に積み立てたその他積立金がある場合に、積み立てた同額を、専用預金口座を設けてその他積立資産として管理する場合は、遅くとも決算理事会終了後</w:t>
            </w:r>
            <w:r>
              <w:rPr>
                <w:rFonts w:hint="eastAsia" w:ascii="ＭＳ 明朝" w:hAnsi="ＭＳ 明朝" w:eastAsia="ＭＳ 明朝"/>
                <w:color w:val="auto"/>
                <w:sz w:val="20"/>
              </w:rPr>
              <w:t>2</w:t>
            </w:r>
            <w:r>
              <w:rPr>
                <w:rFonts w:hint="eastAsia" w:ascii="ＭＳ 明朝" w:hAnsi="ＭＳ 明朝" w:eastAsia="ＭＳ 明朝"/>
                <w:color w:val="auto"/>
                <w:sz w:val="20"/>
              </w:rPr>
              <w:t>か月以内に、流動資産から固定資産への資金移動を行っているか。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・預金証書（通帳）</w:t>
            </w:r>
          </w:p>
        </w:tc>
        <w:tc>
          <w:tcPr>
            <w:tcW w:w="579" w:type="dxa"/>
            <w:vAlign w:val="center"/>
          </w:tcPr>
          <w:p>
            <w:pPr>
              <w:pStyle w:val="0"/>
              <w:jc w:val="center"/>
              <w:rPr>
                <w:rFonts w:hint="default"/>
                <w:color w:val="auto"/>
                <w:sz w:val="24"/>
              </w:rPr>
            </w:pPr>
            <w:sdt>
              <w:sdtPr>
                <w:rPr>
                  <w:rFonts w:hint="default"/>
                  <w:color w:val="auto"/>
                  <w:sz w:val="24"/>
                </w:rPr>
                <w:id w:val="183911271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75948502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21392915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04"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寄附金</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金銭の寄附を受けた場合に、寄附の目的に応じて収入する拠点区分を決定し、適切な勘定科目に寄附された金額を計上しているか。</w:t>
            </w:r>
          </w:p>
        </w:tc>
        <w:tc>
          <w:tcPr>
            <w:tcW w:w="1909" w:type="dxa"/>
            <w:vMerge w:val="restart"/>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p>
            <w:pPr>
              <w:pStyle w:val="0"/>
              <w:rPr>
                <w:rFonts w:hint="default" w:ascii="ＭＳ 明朝" w:hAnsi="ＭＳ 明朝" w:eastAsia="ＭＳ 明朝"/>
                <w:color w:val="auto"/>
              </w:rPr>
            </w:pPr>
            <w:r>
              <w:rPr>
                <w:rFonts w:hint="eastAsia" w:ascii="ＭＳ 明朝" w:hAnsi="ＭＳ 明朝" w:eastAsia="ＭＳ 明朝"/>
                <w:color w:val="auto"/>
              </w:rPr>
              <w:t>・寄附関係書類</w:t>
            </w:r>
          </w:p>
        </w:tc>
        <w:tc>
          <w:tcPr>
            <w:tcW w:w="579" w:type="dxa"/>
            <w:vAlign w:val="center"/>
          </w:tcPr>
          <w:p>
            <w:pPr>
              <w:pStyle w:val="0"/>
              <w:jc w:val="center"/>
              <w:rPr>
                <w:rFonts w:hint="default"/>
                <w:color w:val="auto"/>
                <w:sz w:val="24"/>
              </w:rPr>
            </w:pPr>
            <w:sdt>
              <w:sdtPr>
                <w:rPr>
                  <w:rFonts w:hint="default"/>
                  <w:color w:val="auto"/>
                  <w:sz w:val="24"/>
                </w:rPr>
                <w:id w:val="-159861960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8008831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59243354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268"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経常経費に対する物品の寄附があった場合に、寄附を受けた時点の当該物品の時価評価額を、資金収支計算書の経常経費寄附金収入及び事業活動計算書の経常経費寄附金収益に計上するとともに、物品購入費として同額を支出しているか。</w:t>
            </w:r>
          </w:p>
        </w:tc>
        <w:tc>
          <w:tcPr>
            <w:tcW w:w="1909" w:type="dxa"/>
            <w:vMerge w:val="continue"/>
            <w:vAlign w:val="top"/>
          </w:tcPr>
          <w:p>
            <w:pPr>
              <w:pStyle w:val="0"/>
              <w:rPr>
                <w:rFonts w:hint="eastAsia"/>
              </w:rPr>
            </w:pPr>
          </w:p>
        </w:tc>
        <w:tc>
          <w:tcPr>
            <w:tcW w:w="579" w:type="dxa"/>
            <w:vAlign w:val="center"/>
          </w:tcPr>
          <w:p>
            <w:pPr>
              <w:pStyle w:val="0"/>
              <w:jc w:val="center"/>
              <w:rPr>
                <w:rFonts w:hint="default"/>
                <w:color w:val="auto"/>
                <w:sz w:val="24"/>
              </w:rPr>
            </w:pPr>
            <w:sdt>
              <w:sdtPr>
                <w:rPr>
                  <w:rFonts w:hint="default"/>
                  <w:color w:val="auto"/>
                  <w:sz w:val="24"/>
                </w:rPr>
                <w:id w:val="130358904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40480101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45614534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273"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土地などの固定資産の寄附を受けた場合に、事業活動計算書に、寄附を受けた時点の当該固定資産の時価評価が、固定資産受贈額として計上されているか。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・仕訳日記帳</w:t>
            </w:r>
          </w:p>
        </w:tc>
        <w:tc>
          <w:tcPr>
            <w:tcW w:w="579" w:type="dxa"/>
            <w:vAlign w:val="center"/>
          </w:tcPr>
          <w:p>
            <w:pPr>
              <w:pStyle w:val="0"/>
              <w:jc w:val="center"/>
              <w:rPr>
                <w:rFonts w:hint="default"/>
                <w:color w:val="auto"/>
                <w:sz w:val="24"/>
              </w:rPr>
            </w:pPr>
            <w:sdt>
              <w:sdtPr>
                <w:rPr>
                  <w:rFonts w:hint="default"/>
                  <w:color w:val="auto"/>
                  <w:sz w:val="24"/>
                </w:rPr>
                <w:id w:val="-92295931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76105777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2560249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265"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寄附金申込書、寄附領収書（控）、寄附金品台帳、寄附金収益明細書の記載事項は全て一致しているか。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・寄附金品台帳</w:t>
            </w:r>
          </w:p>
          <w:p>
            <w:pPr>
              <w:pStyle w:val="0"/>
              <w:rPr>
                <w:rFonts w:hint="default" w:ascii="ＭＳ 明朝" w:hAnsi="ＭＳ 明朝" w:eastAsia="ＭＳ 明朝"/>
                <w:color w:val="auto"/>
              </w:rPr>
            </w:pPr>
            <w:r>
              <w:rPr>
                <w:rFonts w:hint="eastAsia" w:ascii="ＭＳ 明朝" w:hAnsi="ＭＳ 明朝" w:eastAsia="ＭＳ 明朝"/>
                <w:color w:val="auto"/>
              </w:rPr>
              <w:t>・寄附金収益明細書</w:t>
            </w:r>
          </w:p>
          <w:p>
            <w:pPr>
              <w:pStyle w:val="0"/>
              <w:rPr>
                <w:rFonts w:hint="default" w:ascii="ＭＳ 明朝" w:hAnsi="ＭＳ 明朝" w:eastAsia="ＭＳ 明朝"/>
                <w:color w:val="auto"/>
              </w:rPr>
            </w:pPr>
            <w:r>
              <w:rPr>
                <w:rFonts w:hint="eastAsia" w:ascii="ＭＳ 明朝" w:hAnsi="ＭＳ 明朝" w:eastAsia="ＭＳ 明朝"/>
                <w:color w:val="auto"/>
              </w:rPr>
              <w:t>・寄附関係書類</w:t>
            </w:r>
          </w:p>
        </w:tc>
        <w:tc>
          <w:tcPr>
            <w:tcW w:w="579" w:type="dxa"/>
            <w:vAlign w:val="center"/>
          </w:tcPr>
          <w:p>
            <w:pPr>
              <w:pStyle w:val="0"/>
              <w:jc w:val="center"/>
              <w:rPr>
                <w:rFonts w:hint="default"/>
                <w:color w:val="auto"/>
                <w:sz w:val="24"/>
              </w:rPr>
            </w:pPr>
            <w:sdt>
              <w:sdtPr>
                <w:rPr>
                  <w:rFonts w:hint="default"/>
                  <w:color w:val="auto"/>
                  <w:sz w:val="24"/>
                </w:rPr>
                <w:id w:val="-76614922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27914931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43863816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44"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契約の相手方及びその関係者（備品納入業者、下請業者等）から、法人に対し寄附金等の資金提供がなされていないか。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・寄附金品台帳</w:t>
            </w:r>
          </w:p>
          <w:p>
            <w:pPr>
              <w:pStyle w:val="0"/>
              <w:rPr>
                <w:rFonts w:hint="default" w:ascii="ＭＳ 明朝" w:hAnsi="ＭＳ 明朝" w:eastAsia="ＭＳ 明朝"/>
                <w:color w:val="auto"/>
              </w:rPr>
            </w:pPr>
            <w:r>
              <w:rPr>
                <w:rFonts w:hint="eastAsia" w:ascii="ＭＳ 明朝" w:hAnsi="ＭＳ 明朝" w:eastAsia="ＭＳ 明朝"/>
                <w:color w:val="auto"/>
              </w:rPr>
              <w:t>・寄附関係書類</w:t>
            </w:r>
          </w:p>
        </w:tc>
        <w:tc>
          <w:tcPr>
            <w:tcW w:w="579" w:type="dxa"/>
            <w:vAlign w:val="center"/>
          </w:tcPr>
          <w:p>
            <w:pPr>
              <w:pStyle w:val="0"/>
              <w:jc w:val="center"/>
              <w:rPr>
                <w:rFonts w:hint="default"/>
                <w:color w:val="auto"/>
                <w:sz w:val="24"/>
              </w:rPr>
            </w:pPr>
            <w:sdt>
              <w:sdtPr>
                <w:rPr>
                  <w:rFonts w:hint="default"/>
                  <w:color w:val="auto"/>
                  <w:sz w:val="24"/>
                </w:rPr>
                <w:id w:val="11919007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73203332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r>
              <w:rPr>
                <w:rFonts w:hint="eastAsia"/>
                <w:color w:val="auto"/>
                <w:sz w:val="24"/>
              </w:rPr>
              <w:t>－</w:t>
            </w:r>
          </w:p>
        </w:tc>
      </w:tr>
      <w:tr>
        <w:trPr>
          <w:cantSplit/>
          <w:trHeight w:val="662" w:hRule="atLeast"/>
        </w:trPr>
        <w:tc>
          <w:tcPr>
            <w:tcW w:w="135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FF0000"/>
              </w:rPr>
            </w:pPr>
            <w:r>
              <w:rPr>
                <w:rFonts w:hint="eastAsia" w:ascii="ＭＳ 明朝" w:hAnsi="ＭＳ 明朝" w:eastAsia="ＭＳ 明朝"/>
                <w:color w:val="auto"/>
                <w:sz w:val="20"/>
              </w:rPr>
              <w:t>契約</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法人印及び代表者印は適正に管理されているか。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・法人印及び代表者印</w:t>
            </w:r>
          </w:p>
        </w:tc>
        <w:tc>
          <w:tcPr>
            <w:tcW w:w="579" w:type="dxa"/>
            <w:vAlign w:val="center"/>
          </w:tcPr>
          <w:p>
            <w:pPr>
              <w:pStyle w:val="0"/>
              <w:jc w:val="center"/>
              <w:rPr>
                <w:rFonts w:hint="default"/>
                <w:color w:val="auto"/>
                <w:sz w:val="24"/>
              </w:rPr>
            </w:pPr>
            <w:sdt>
              <w:sdtPr>
                <w:rPr>
                  <w:rFonts w:hint="default"/>
                  <w:color w:val="auto"/>
                  <w:sz w:val="24"/>
                </w:rPr>
                <w:id w:val="-37392521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19946325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r>
              <w:rPr>
                <w:rFonts w:hint="eastAsia"/>
                <w:color w:val="auto"/>
                <w:sz w:val="24"/>
              </w:rPr>
              <w:t>－</w:t>
            </w:r>
          </w:p>
        </w:tc>
      </w:tr>
      <w:tr>
        <w:trPr>
          <w:cantSplit/>
          <w:trHeight w:val="344"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理事長は、委任する内容を明確にした上で、契約担当者を任命しているか。　</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・委任規程等</w:t>
            </w:r>
          </w:p>
          <w:p>
            <w:pPr>
              <w:pStyle w:val="0"/>
              <w:rPr>
                <w:rFonts w:hint="default" w:ascii="ＭＳ 明朝" w:hAnsi="ＭＳ 明朝" w:eastAsia="ＭＳ 明朝"/>
                <w:color w:val="auto"/>
              </w:rPr>
            </w:pPr>
            <w:r>
              <w:rPr>
                <w:rFonts w:hint="eastAsia" w:ascii="ＭＳ 明朝" w:hAnsi="ＭＳ 明朝" w:eastAsia="ＭＳ 明朝"/>
                <w:color w:val="auto"/>
              </w:rPr>
              <w:t>・事務分掌表</w:t>
            </w:r>
          </w:p>
        </w:tc>
        <w:tc>
          <w:tcPr>
            <w:tcW w:w="579" w:type="dxa"/>
            <w:vAlign w:val="center"/>
          </w:tcPr>
          <w:p>
            <w:pPr>
              <w:pStyle w:val="0"/>
              <w:jc w:val="center"/>
              <w:rPr>
                <w:rFonts w:hint="default"/>
                <w:color w:val="auto"/>
                <w:sz w:val="24"/>
              </w:rPr>
            </w:pPr>
            <w:sdt>
              <w:sdtPr>
                <w:rPr>
                  <w:rFonts w:hint="default"/>
                  <w:color w:val="auto"/>
                  <w:sz w:val="24"/>
                </w:rPr>
                <w:id w:val="-1233544044"/>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70559528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7435187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44"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入札に関する手続き等を定めた規程を整備して、入札事務の処理を行っているか。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・入札に関する規程等</w:t>
            </w:r>
          </w:p>
          <w:p>
            <w:pPr>
              <w:pStyle w:val="0"/>
              <w:rPr>
                <w:rFonts w:hint="default" w:ascii="ＭＳ 明朝" w:hAnsi="ＭＳ 明朝" w:eastAsia="ＭＳ 明朝"/>
                <w:strike w:val="1"/>
                <w:color w:val="auto"/>
              </w:rPr>
            </w:pPr>
            <w:r>
              <w:rPr>
                <w:rFonts w:hint="eastAsia" w:ascii="ＭＳ 明朝" w:hAnsi="ＭＳ 明朝" w:eastAsia="ＭＳ 明朝"/>
                <w:color w:val="auto"/>
              </w:rPr>
              <w:t>・執行伺書</w:t>
            </w:r>
          </w:p>
        </w:tc>
        <w:tc>
          <w:tcPr>
            <w:tcW w:w="579" w:type="dxa"/>
            <w:vAlign w:val="center"/>
          </w:tcPr>
          <w:p>
            <w:pPr>
              <w:pStyle w:val="0"/>
              <w:jc w:val="center"/>
              <w:rPr>
                <w:rFonts w:hint="default"/>
                <w:color w:val="auto"/>
                <w:sz w:val="24"/>
              </w:rPr>
            </w:pPr>
            <w:sdt>
              <w:sdtPr>
                <w:rPr>
                  <w:rFonts w:hint="default"/>
                  <w:color w:val="auto"/>
                  <w:sz w:val="24"/>
                </w:rPr>
                <w:id w:val="-31989014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18263176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45914357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44"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指名競争入札及び随意契約を行った場合に、執行伺書にその理由を明確に記載しているか。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・契約書等関係書類</w:t>
            </w:r>
          </w:p>
        </w:tc>
        <w:tc>
          <w:tcPr>
            <w:tcW w:w="579" w:type="dxa"/>
            <w:vAlign w:val="center"/>
          </w:tcPr>
          <w:p>
            <w:pPr>
              <w:pStyle w:val="0"/>
              <w:jc w:val="center"/>
              <w:rPr>
                <w:rFonts w:hint="default"/>
                <w:color w:val="auto"/>
                <w:sz w:val="24"/>
              </w:rPr>
            </w:pPr>
            <w:sdt>
              <w:sdtPr>
                <w:rPr>
                  <w:rFonts w:hint="default"/>
                  <w:color w:val="auto"/>
                  <w:sz w:val="24"/>
                </w:rPr>
                <w:id w:val="-202407837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65480363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r>
              <w:rPr>
                <w:rFonts w:hint="eastAsia"/>
                <w:color w:val="auto"/>
                <w:sz w:val="24"/>
              </w:rPr>
              <w:t>－</w:t>
            </w:r>
          </w:p>
        </w:tc>
      </w:tr>
      <w:tr>
        <w:trPr>
          <w:cantSplit/>
          <w:trHeight w:val="791"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経理規程により随意契約によることができないとされている取引について、随意契約を行っていないか。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・契約書</w:t>
            </w:r>
          </w:p>
          <w:p>
            <w:pPr>
              <w:pStyle w:val="0"/>
              <w:rPr>
                <w:rFonts w:hint="default" w:ascii="ＭＳ 明朝" w:hAnsi="ＭＳ 明朝" w:eastAsia="ＭＳ 明朝"/>
                <w:color w:val="auto"/>
              </w:rPr>
            </w:pPr>
            <w:r>
              <w:rPr>
                <w:rFonts w:hint="eastAsia" w:ascii="ＭＳ 明朝" w:hAnsi="ＭＳ 明朝" w:eastAsia="ＭＳ 明朝"/>
                <w:color w:val="auto"/>
              </w:rPr>
              <w:t>・執行伺書等</w:t>
            </w:r>
          </w:p>
        </w:tc>
        <w:tc>
          <w:tcPr>
            <w:tcW w:w="579" w:type="dxa"/>
            <w:vAlign w:val="center"/>
          </w:tcPr>
          <w:p>
            <w:pPr>
              <w:pStyle w:val="0"/>
              <w:jc w:val="center"/>
              <w:rPr>
                <w:rFonts w:hint="default"/>
                <w:color w:val="auto"/>
                <w:sz w:val="24"/>
              </w:rPr>
            </w:pPr>
            <w:sdt>
              <w:sdtPr>
                <w:rPr>
                  <w:rFonts w:hint="default"/>
                  <w:color w:val="auto"/>
                  <w:sz w:val="24"/>
                </w:rPr>
                <w:id w:val="-42850452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77247553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11579565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791"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国庫補助金等がある場合、契約の手続きを公共工事の取扱いに準じて行っているか。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・執行伺書（稟議書）</w:t>
            </w:r>
          </w:p>
        </w:tc>
        <w:tc>
          <w:tcPr>
            <w:tcW w:w="579" w:type="dxa"/>
            <w:vAlign w:val="center"/>
          </w:tcPr>
          <w:p>
            <w:pPr>
              <w:pStyle w:val="0"/>
              <w:jc w:val="center"/>
              <w:rPr>
                <w:rFonts w:hint="default"/>
                <w:color w:val="auto"/>
                <w:sz w:val="24"/>
              </w:rPr>
            </w:pPr>
            <w:sdt>
              <w:sdtPr>
                <w:rPr>
                  <w:rFonts w:hint="default"/>
                  <w:color w:val="auto"/>
                  <w:sz w:val="24"/>
                </w:rPr>
                <w:id w:val="179556642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70370655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77777674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993"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随意契約を行った場合は、経理規程に定める数以上の業者から見積書を徴し、比較するなどして、適正な価格で契約を締結しているか。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・経理規程</w:t>
            </w:r>
          </w:p>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・契約書等関係書類</w:t>
            </w:r>
          </w:p>
        </w:tc>
        <w:tc>
          <w:tcPr>
            <w:tcW w:w="579" w:type="dxa"/>
            <w:vAlign w:val="center"/>
          </w:tcPr>
          <w:p>
            <w:pPr>
              <w:pStyle w:val="0"/>
              <w:jc w:val="center"/>
              <w:rPr>
                <w:rFonts w:hint="default"/>
                <w:color w:val="auto"/>
                <w:sz w:val="24"/>
              </w:rPr>
            </w:pPr>
            <w:sdt>
              <w:sdtPr>
                <w:rPr>
                  <w:rFonts w:hint="default"/>
                  <w:color w:val="auto"/>
                  <w:sz w:val="24"/>
                </w:rPr>
                <w:id w:val="-16356320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99368741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ascii="ＭＳ 明朝" w:hAnsi="ＭＳ 明朝" w:eastAsia="ＭＳ 明朝"/>
                <w:color w:val="auto"/>
                <w:sz w:val="24"/>
              </w:rPr>
            </w:pPr>
            <w:r>
              <w:rPr>
                <w:rFonts w:hint="eastAsia" w:ascii="ＭＳ 明朝" w:hAnsi="ＭＳ 明朝" w:eastAsia="ＭＳ 明朝"/>
                <w:color w:val="auto"/>
                <w:sz w:val="24"/>
              </w:rPr>
              <w:t>－</w:t>
            </w:r>
          </w:p>
        </w:tc>
      </w:tr>
      <w:tr>
        <w:trPr>
          <w:cantSplit/>
          <w:trHeight w:val="268"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単価契約及び基本取引契約を行う場合に、経理規程に基づいた適切な手続きにより契約を行っているか。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・契約書等関係書類</w:t>
            </w:r>
          </w:p>
        </w:tc>
        <w:tc>
          <w:tcPr>
            <w:tcW w:w="579" w:type="dxa"/>
            <w:vAlign w:val="center"/>
          </w:tcPr>
          <w:p>
            <w:pPr>
              <w:pStyle w:val="0"/>
              <w:jc w:val="center"/>
              <w:rPr>
                <w:rFonts w:hint="default"/>
                <w:color w:val="auto"/>
                <w:sz w:val="24"/>
              </w:rPr>
            </w:pPr>
            <w:sdt>
              <w:sdtPr>
                <w:rPr>
                  <w:rFonts w:hint="default"/>
                  <w:color w:val="auto"/>
                  <w:sz w:val="24"/>
                </w:rPr>
                <w:id w:val="-1893881721"/>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07150073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21007851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1010"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自動更新条項のある契約を締結している場合に、契約期間満了する前に、契約更新に係る手続きを行っているか。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rPr>
                <w:rFonts w:hint="default" w:ascii="ＭＳ 明朝" w:hAnsi="ＭＳ 明朝" w:eastAsia="ＭＳ 明朝"/>
                <w:color w:val="auto"/>
              </w:rPr>
            </w:pPr>
            <w:r>
              <w:rPr>
                <w:rFonts w:hint="eastAsia" w:ascii="ＭＳ 明朝" w:hAnsi="ＭＳ 明朝" w:eastAsia="ＭＳ 明朝"/>
                <w:color w:val="auto"/>
              </w:rPr>
              <w:t>・契約書等関係書類</w:t>
            </w:r>
          </w:p>
        </w:tc>
        <w:tc>
          <w:tcPr>
            <w:tcW w:w="579" w:type="dxa"/>
            <w:vAlign w:val="center"/>
          </w:tcPr>
          <w:p>
            <w:pPr>
              <w:pStyle w:val="0"/>
              <w:jc w:val="center"/>
              <w:rPr>
                <w:rFonts w:hint="default"/>
                <w:color w:val="auto"/>
                <w:sz w:val="24"/>
              </w:rPr>
            </w:pPr>
            <w:sdt>
              <w:sdtPr>
                <w:rPr>
                  <w:rFonts w:hint="default"/>
                  <w:color w:val="auto"/>
                  <w:sz w:val="24"/>
                </w:rPr>
                <w:id w:val="-86582876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211216354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6394079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268" w:hRule="atLeast"/>
        </w:trPr>
        <w:tc>
          <w:tcPr>
            <w:tcW w:w="135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FF0000"/>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インターネットを利用して物品の購入している場合に、会計処理を適切に行っているか。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・関係規程等</w:t>
            </w:r>
          </w:p>
          <w:p>
            <w:pPr>
              <w:pStyle w:val="0"/>
              <w:rPr>
                <w:rFonts w:hint="default" w:ascii="ＭＳ 明朝" w:hAnsi="ＭＳ 明朝" w:eastAsia="ＭＳ 明朝"/>
                <w:color w:val="auto"/>
              </w:rPr>
            </w:pPr>
            <w:r>
              <w:rPr>
                <w:rFonts w:hint="eastAsia" w:ascii="ＭＳ 明朝" w:hAnsi="ＭＳ 明朝" w:eastAsia="ＭＳ 明朝"/>
                <w:color w:val="auto"/>
              </w:rPr>
              <w:t>・伺書（稟議書）</w:t>
            </w:r>
          </w:p>
        </w:tc>
        <w:tc>
          <w:tcPr>
            <w:tcW w:w="579" w:type="dxa"/>
            <w:vAlign w:val="center"/>
          </w:tcPr>
          <w:p>
            <w:pPr>
              <w:pStyle w:val="0"/>
              <w:jc w:val="center"/>
              <w:rPr>
                <w:rFonts w:hint="default"/>
                <w:color w:val="auto"/>
                <w:sz w:val="24"/>
              </w:rPr>
            </w:pPr>
            <w:sdt>
              <w:sdtPr>
                <w:rPr>
                  <w:rFonts w:hint="default"/>
                  <w:color w:val="auto"/>
                  <w:sz w:val="24"/>
                </w:rPr>
                <w:id w:val="80459010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49892428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31486953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273"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会計間の</w:t>
            </w:r>
          </w:p>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資金移動</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施設等の運営費等の資金が、同一法人内における他の拠点区分及びサービス区分又は収益・公益事業の事業区分へ貸借（介護保険事業間の貸借を除く）された場合、資金は貸借と同一の会計年度内に返還され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・計算書類</w:t>
            </w:r>
          </w:p>
        </w:tc>
        <w:tc>
          <w:tcPr>
            <w:tcW w:w="579" w:type="dxa"/>
            <w:vAlign w:val="center"/>
          </w:tcPr>
          <w:p>
            <w:pPr>
              <w:pStyle w:val="0"/>
              <w:jc w:val="center"/>
              <w:rPr>
                <w:rFonts w:hint="default"/>
                <w:color w:val="auto"/>
                <w:sz w:val="24"/>
              </w:rPr>
            </w:pPr>
            <w:sdt>
              <w:sdtPr>
                <w:rPr>
                  <w:rFonts w:hint="default"/>
                  <w:color w:val="auto"/>
                  <w:sz w:val="24"/>
                </w:rPr>
                <w:id w:val="-942692507"/>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30508893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66917741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265"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同一の会計年度内に貸付金が返還されていない場合に、事業区分・拠点区分・サービス区分間貸付金（借入金）残高明細書を作成しているか。</w:t>
            </w:r>
          </w:p>
        </w:tc>
        <w:tc>
          <w:tcPr>
            <w:tcW w:w="1909" w:type="dxa"/>
            <w:vAlign w:val="top"/>
          </w:tcPr>
          <w:p>
            <w:pPr>
              <w:pStyle w:val="0"/>
              <w:ind w:left="163" w:hanging="163" w:hangingChars="100"/>
              <w:rPr>
                <w:rFonts w:hint="default" w:ascii="ＭＳ 明朝" w:hAnsi="ＭＳ 明朝" w:eastAsia="ＭＳ 明朝"/>
                <w:color w:val="auto"/>
              </w:rPr>
            </w:pPr>
            <w:r>
              <w:rPr>
                <w:rFonts w:hint="eastAsia" w:ascii="ＭＳ 明朝" w:hAnsi="ＭＳ 明朝" w:eastAsia="ＭＳ 明朝"/>
                <w:color w:val="auto"/>
              </w:rPr>
              <w:t>・貸付金（借入金）残高明細書</w:t>
            </w:r>
          </w:p>
        </w:tc>
        <w:tc>
          <w:tcPr>
            <w:tcW w:w="579" w:type="dxa"/>
            <w:vAlign w:val="center"/>
          </w:tcPr>
          <w:p>
            <w:pPr>
              <w:pStyle w:val="0"/>
              <w:jc w:val="center"/>
              <w:rPr>
                <w:rFonts w:hint="default"/>
                <w:color w:val="auto"/>
                <w:sz w:val="24"/>
              </w:rPr>
            </w:pPr>
            <w:sdt>
              <w:sdtPr>
                <w:rPr>
                  <w:rFonts w:hint="default"/>
                  <w:color w:val="auto"/>
                  <w:sz w:val="24"/>
                </w:rPr>
                <w:id w:val="-40299219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32913983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82735993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44"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施設拠点区分又はサービス区分から他の拠点区分又はサービス区分への繰入は、国の通知等で認められた資金の範囲内で行っているか。</w:t>
            </w:r>
          </w:p>
        </w:tc>
        <w:tc>
          <w:tcPr>
            <w:tcW w:w="1909" w:type="dxa"/>
            <w:vAlign w:val="top"/>
          </w:tcPr>
          <w:p>
            <w:pPr>
              <w:pStyle w:val="0"/>
              <w:ind w:left="163" w:hanging="163" w:hangingChars="10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ind w:left="163" w:hanging="163" w:hangingChars="100"/>
              <w:rPr>
                <w:rFonts w:hint="default" w:ascii="ＭＳ 明朝" w:hAnsi="ＭＳ 明朝" w:eastAsia="ＭＳ 明朝"/>
                <w:color w:val="auto"/>
              </w:rPr>
            </w:pPr>
            <w:r>
              <w:rPr>
                <w:rFonts w:hint="eastAsia" w:ascii="ＭＳ 明朝" w:hAnsi="ＭＳ 明朝" w:eastAsia="ＭＳ 明朝"/>
                <w:color w:val="auto"/>
              </w:rPr>
              <w:t>・計算書類</w:t>
            </w:r>
          </w:p>
        </w:tc>
        <w:tc>
          <w:tcPr>
            <w:tcW w:w="579" w:type="dxa"/>
            <w:vAlign w:val="center"/>
          </w:tcPr>
          <w:p>
            <w:pPr>
              <w:pStyle w:val="0"/>
              <w:jc w:val="center"/>
              <w:rPr>
                <w:rFonts w:hint="default"/>
                <w:color w:val="auto"/>
                <w:sz w:val="24"/>
              </w:rPr>
            </w:pPr>
            <w:sdt>
              <w:sdtPr>
                <w:rPr>
                  <w:rFonts w:hint="default"/>
                  <w:color w:val="auto"/>
                  <w:sz w:val="24"/>
                </w:rPr>
                <w:id w:val="-49109803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77949417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25471319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1030"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措置施設又は保育所においては、当期末支払資金残高が、当該年度運営費収入の３０</w:t>
            </w:r>
            <w:r>
              <w:rPr>
                <w:rFonts w:hint="eastAsia" w:ascii="ＭＳ 明朝" w:hAnsi="ＭＳ 明朝" w:eastAsia="ＭＳ 明朝"/>
                <w:color w:val="auto"/>
                <w:sz w:val="20"/>
              </w:rPr>
              <w:t>%</w:t>
            </w:r>
            <w:r>
              <w:rPr>
                <w:rFonts w:hint="eastAsia" w:ascii="ＭＳ 明朝" w:hAnsi="ＭＳ 明朝" w:eastAsia="ＭＳ 明朝"/>
                <w:color w:val="auto"/>
                <w:sz w:val="20"/>
              </w:rPr>
              <w:t>以下となっているか。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・資金収支計算書</w:t>
            </w:r>
          </w:p>
        </w:tc>
        <w:tc>
          <w:tcPr>
            <w:tcW w:w="579" w:type="dxa"/>
            <w:vAlign w:val="center"/>
          </w:tcPr>
          <w:p>
            <w:pPr>
              <w:pStyle w:val="0"/>
              <w:jc w:val="center"/>
              <w:rPr>
                <w:rFonts w:hint="default"/>
                <w:color w:val="auto"/>
                <w:sz w:val="24"/>
              </w:rPr>
            </w:pPr>
            <w:sdt>
              <w:sdtPr>
                <w:rPr>
                  <w:rFonts w:hint="default"/>
                  <w:color w:val="auto"/>
                  <w:sz w:val="24"/>
                </w:rPr>
                <w:id w:val="-74249149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89493437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989050906"/>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44" w:hRule="atLeast"/>
        </w:trPr>
        <w:tc>
          <w:tcPr>
            <w:tcW w:w="1351"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預り金</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利用者からの預り金がある場合に、預り金等に関する規程等を定めた上で、法人会計とは別の会計を設けて経理するとともに、管理責任者を定めて資金管理を行っているか。</w:t>
            </w: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・関係規程等</w:t>
            </w:r>
          </w:p>
          <w:p>
            <w:pPr>
              <w:pStyle w:val="0"/>
              <w:rPr>
                <w:rFonts w:hint="default" w:ascii="ＭＳ 明朝" w:hAnsi="ＭＳ 明朝" w:eastAsia="ＭＳ 明朝"/>
                <w:color w:val="auto"/>
              </w:rPr>
            </w:pPr>
            <w:r>
              <w:rPr>
                <w:rFonts w:hint="eastAsia" w:ascii="ＭＳ 明朝" w:hAnsi="ＭＳ 明朝" w:eastAsia="ＭＳ 明朝"/>
                <w:color w:val="auto"/>
              </w:rPr>
              <w:t>・辞令等の伺書</w:t>
            </w:r>
          </w:p>
          <w:p>
            <w:pPr>
              <w:pStyle w:val="0"/>
              <w:rPr>
                <w:rFonts w:hint="default" w:ascii="ＭＳ 明朝" w:hAnsi="ＭＳ 明朝" w:eastAsia="ＭＳ 明朝"/>
                <w:color w:val="auto"/>
              </w:rPr>
            </w:pPr>
            <w:r>
              <w:rPr>
                <w:rFonts w:hint="eastAsia" w:ascii="ＭＳ 明朝" w:hAnsi="ＭＳ 明朝" w:eastAsia="ＭＳ 明朝"/>
                <w:color w:val="auto"/>
              </w:rPr>
              <w:t>・現金出納帳等</w:t>
            </w:r>
          </w:p>
        </w:tc>
        <w:tc>
          <w:tcPr>
            <w:tcW w:w="579" w:type="dxa"/>
            <w:vAlign w:val="center"/>
          </w:tcPr>
          <w:p>
            <w:pPr>
              <w:pStyle w:val="0"/>
              <w:jc w:val="center"/>
              <w:rPr>
                <w:rFonts w:hint="default"/>
                <w:color w:val="auto"/>
                <w:sz w:val="24"/>
              </w:rPr>
            </w:pPr>
            <w:sdt>
              <w:sdtPr>
                <w:rPr>
                  <w:rFonts w:hint="default"/>
                  <w:color w:val="auto"/>
                  <w:sz w:val="24"/>
                </w:rPr>
                <w:id w:val="1693184232"/>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84073255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638419079"/>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44" w:hRule="atLeast"/>
        </w:trPr>
        <w:tc>
          <w:tcPr>
            <w:tcW w:w="1351" w:type="dxa"/>
            <w:vMerge w:val="restart"/>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その他</w:t>
            </w: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関連当事者が取引先にいる場合に、取引の状況を関連当事者ごとに把握しているか。</w:t>
            </w:r>
            <w:bookmarkStart w:id="0" w:name="_GoBack"/>
            <w:bookmarkEnd w:id="0"/>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・総勘定元帳</w:t>
            </w:r>
          </w:p>
          <w:p>
            <w:pPr>
              <w:pStyle w:val="0"/>
              <w:rPr>
                <w:rFonts w:hint="default" w:ascii="ＭＳ 明朝" w:hAnsi="ＭＳ 明朝" w:eastAsia="ＭＳ 明朝"/>
                <w:color w:val="auto"/>
              </w:rPr>
            </w:pPr>
            <w:r>
              <w:rPr>
                <w:rFonts w:hint="eastAsia" w:ascii="ＭＳ 明朝" w:hAnsi="ＭＳ 明朝" w:eastAsia="ＭＳ 明朝"/>
                <w:color w:val="auto"/>
              </w:rPr>
              <w:t>・執行伺書</w:t>
            </w:r>
          </w:p>
          <w:p>
            <w:pPr>
              <w:pStyle w:val="0"/>
              <w:ind w:left="163" w:hanging="163" w:hangingChars="100"/>
              <w:rPr>
                <w:rFonts w:hint="default" w:ascii="ＭＳ 明朝" w:hAnsi="ＭＳ 明朝" w:eastAsia="ＭＳ 明朝"/>
                <w:color w:val="auto"/>
              </w:rPr>
            </w:pPr>
            <w:r>
              <w:rPr>
                <w:rFonts w:hint="eastAsia" w:ascii="ＭＳ 明朝" w:hAnsi="ＭＳ 明朝" w:eastAsia="ＭＳ 明朝"/>
                <w:color w:val="auto"/>
              </w:rPr>
              <w:t>・関連当事者に係る管理台帳</w:t>
            </w:r>
          </w:p>
        </w:tc>
        <w:tc>
          <w:tcPr>
            <w:tcW w:w="579" w:type="dxa"/>
            <w:vAlign w:val="center"/>
          </w:tcPr>
          <w:p>
            <w:pPr>
              <w:pStyle w:val="0"/>
              <w:jc w:val="center"/>
              <w:rPr>
                <w:rFonts w:hint="default"/>
                <w:color w:val="auto"/>
                <w:sz w:val="24"/>
              </w:rPr>
            </w:pPr>
            <w:sdt>
              <w:sdtPr>
                <w:rPr>
                  <w:rFonts w:hint="default"/>
                  <w:color w:val="auto"/>
                  <w:sz w:val="24"/>
                </w:rPr>
                <w:id w:val="-593326925"/>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143234931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775064500"/>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r>
        <w:trPr>
          <w:cantSplit/>
          <w:trHeight w:val="344" w:hRule="atLeast"/>
        </w:trPr>
        <w:tc>
          <w:tcPr>
            <w:tcW w:w="1351" w:type="dxa"/>
            <w:vMerge w:val="continue"/>
            <w:vAlign w:val="center"/>
          </w:tcPr>
          <w:p>
            <w:pPr>
              <w:pStyle w:val="0"/>
              <w:rPr>
                <w:rFonts w:hint="eastAsia"/>
              </w:rPr>
            </w:pPr>
          </w:p>
        </w:tc>
        <w:tc>
          <w:tcPr>
            <w:tcW w:w="4629" w:type="dxa"/>
            <w:vAlign w:val="top"/>
          </w:tcPr>
          <w:p>
            <w:pPr>
              <w:pStyle w:val="0"/>
              <w:rPr>
                <w:rFonts w:hint="default" w:ascii="ＭＳ 明朝" w:hAnsi="ＭＳ 明朝" w:eastAsia="ＭＳ 明朝"/>
                <w:color w:val="auto"/>
                <w:sz w:val="20"/>
              </w:rPr>
            </w:pPr>
            <w:r>
              <w:rPr>
                <w:rFonts w:hint="eastAsia" w:ascii="ＭＳ 明朝" w:hAnsi="ＭＳ 明朝" w:eastAsia="ＭＳ 明朝"/>
                <w:color w:val="auto"/>
                <w:sz w:val="20"/>
              </w:rPr>
              <w:t>年間の取引（事業活動取引、貸借対照表取引）の総額が</w:t>
            </w:r>
            <w:r>
              <w:rPr>
                <w:rFonts w:hint="eastAsia" w:ascii="ＭＳ 明朝" w:hAnsi="ＭＳ 明朝" w:eastAsia="ＭＳ 明朝"/>
                <w:color w:val="auto"/>
                <w:sz w:val="20"/>
              </w:rPr>
              <w:t>1000</w:t>
            </w:r>
            <w:r>
              <w:rPr>
                <w:rFonts w:hint="eastAsia" w:ascii="ＭＳ 明朝" w:hAnsi="ＭＳ 明朝" w:eastAsia="ＭＳ 明朝"/>
                <w:color w:val="auto"/>
                <w:sz w:val="20"/>
              </w:rPr>
              <w:t>万円以上となる関連当事者がいる場合に、その状況を計算書類の注記に記載しているか。</w:t>
            </w:r>
          </w:p>
          <w:p>
            <w:pPr>
              <w:pStyle w:val="0"/>
              <w:rPr>
                <w:rFonts w:hint="default" w:ascii="ＭＳ 明朝" w:hAnsi="ＭＳ 明朝" w:eastAsia="ＭＳ 明朝"/>
                <w:color w:val="auto"/>
                <w:sz w:val="20"/>
              </w:rPr>
            </w:pPr>
          </w:p>
        </w:tc>
        <w:tc>
          <w:tcPr>
            <w:tcW w:w="1909" w:type="dxa"/>
            <w:vAlign w:val="top"/>
          </w:tcPr>
          <w:p>
            <w:pPr>
              <w:pStyle w:val="0"/>
              <w:rPr>
                <w:rFonts w:hint="default" w:ascii="ＭＳ 明朝" w:hAnsi="ＭＳ 明朝" w:eastAsia="ＭＳ 明朝"/>
                <w:color w:val="auto"/>
              </w:rPr>
            </w:pPr>
            <w:r>
              <w:rPr>
                <w:rFonts w:hint="eastAsia" w:ascii="ＭＳ 明朝" w:hAnsi="ＭＳ 明朝" w:eastAsia="ＭＳ 明朝"/>
                <w:color w:val="auto"/>
              </w:rPr>
              <w:t>・計算書類の注記</w:t>
            </w:r>
          </w:p>
          <w:p>
            <w:pPr>
              <w:pStyle w:val="0"/>
              <w:ind w:left="163" w:hanging="163" w:hangingChars="100"/>
              <w:rPr>
                <w:rFonts w:hint="default" w:ascii="ＭＳ 明朝" w:hAnsi="ＭＳ 明朝" w:eastAsia="ＭＳ 明朝"/>
                <w:color w:val="auto"/>
              </w:rPr>
            </w:pPr>
            <w:r>
              <w:rPr>
                <w:rFonts w:hint="eastAsia" w:ascii="ＭＳ 明朝" w:hAnsi="ＭＳ 明朝" w:eastAsia="ＭＳ 明朝"/>
                <w:color w:val="auto"/>
              </w:rPr>
              <w:t>・関連当事者に係る管理台帳</w:t>
            </w:r>
          </w:p>
        </w:tc>
        <w:tc>
          <w:tcPr>
            <w:tcW w:w="579" w:type="dxa"/>
            <w:vAlign w:val="center"/>
          </w:tcPr>
          <w:p>
            <w:pPr>
              <w:pStyle w:val="0"/>
              <w:jc w:val="center"/>
              <w:rPr>
                <w:rFonts w:hint="default"/>
                <w:color w:val="auto"/>
                <w:sz w:val="24"/>
              </w:rPr>
            </w:pPr>
            <w:sdt>
              <w:sdtPr>
                <w:rPr>
                  <w:rFonts w:hint="default"/>
                  <w:color w:val="auto"/>
                  <w:sz w:val="24"/>
                </w:rPr>
                <w:id w:val="263580578"/>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602" w:type="dxa"/>
            <w:vAlign w:val="center"/>
          </w:tcPr>
          <w:p>
            <w:pPr>
              <w:pStyle w:val="0"/>
              <w:jc w:val="center"/>
              <w:rPr>
                <w:rFonts w:hint="default"/>
                <w:color w:val="auto"/>
                <w:sz w:val="24"/>
              </w:rPr>
            </w:pPr>
            <w:sdt>
              <w:sdtPr>
                <w:rPr>
                  <w:rFonts w:hint="default"/>
                  <w:color w:val="auto"/>
                  <w:sz w:val="24"/>
                </w:rPr>
                <w:id w:val="43479580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c>
          <w:tcPr>
            <w:tcW w:w="562" w:type="dxa"/>
            <w:vAlign w:val="center"/>
          </w:tcPr>
          <w:p>
            <w:pPr>
              <w:pStyle w:val="0"/>
              <w:jc w:val="center"/>
              <w:rPr>
                <w:rFonts w:hint="default"/>
                <w:color w:val="auto"/>
                <w:sz w:val="24"/>
              </w:rPr>
            </w:pPr>
            <w:sdt>
              <w:sdtPr>
                <w:rPr>
                  <w:rFonts w:hint="default"/>
                  <w:color w:val="auto"/>
                  <w:sz w:val="24"/>
                </w:rPr>
                <w:id w:val="-147140283"/>
                <w14:checkbox>
                  <w14:checkedState w14:font="Wingdings" w14:val="00FE"/>
                  <w14:uncheckedState w14:font="ＭＳ ゴシック" w14:val="2610"/>
                </w14:checkbox>
              </w:sdtPr>
              <w:sdtEndPr>
                <w:rPr>
                  <w:rFonts w:hint="default"/>
                  <w:color w:val="auto"/>
                </w:rPr>
              </w:sdtEndPr>
              <w:sdtContent>
                <w:r>
                  <w:rPr>
                    <w:rFonts w:hint="eastAsia" w:ascii="ＭＳ ゴシック" w:hAnsi="ＭＳ ゴシック" w:eastAsia="ＭＳ ゴシック"/>
                    <w:color w:val="auto"/>
                    <w:sz w:val="24"/>
                  </w:rPr>
                  <w:t>☐</w:t>
                </w:r>
              </w:sdtContent>
            </w:sdt>
          </w:p>
        </w:tc>
      </w:tr>
    </w:tbl>
    <w:p>
      <w:pPr>
        <w:pStyle w:val="0"/>
        <w:widowControl w:val="1"/>
        <w:jc w:val="center"/>
        <w:rPr>
          <w:rFonts w:hint="default" w:ascii="ＭＳ 明朝" w:hAnsi="ＭＳ 明朝" w:eastAsia="ＭＳ 明朝"/>
          <w:color w:val="FF0000"/>
          <w:sz w:val="20"/>
        </w:rPr>
      </w:pPr>
    </w:p>
    <w:sectPr>
      <w:footerReference r:id="rId5" w:type="default"/>
      <w:pgSz w:w="11906" w:h="16838"/>
      <w:pgMar w:top="1134" w:right="1134" w:bottom="1134" w:left="1134" w:header="851" w:footer="992" w:gutter="0"/>
      <w:cols w:space="720"/>
      <w:textDirection w:val="lrTb"/>
      <w:docGrid w:type="linesAndChars" w:linePitch="331"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FGP角ｺﾞｼｯｸ体Ca-B">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FG楷書体NT-M">
    <w:panose1 w:val="00000000000000000000"/>
    <w:charset w:val="80"/>
    <w:family w:val="script"/>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012977092"/>
      <w:docPartObj>
        <w:docPartGallery w:val="Page Numbers (Bottom of Page)"/>
        <w:docPartUnique/>
      </w:docPartObj>
    </w:sdtPr>
    <w:sdtEndPr>
      <w:rPr>
        <w:rFonts w:hint="default" w:ascii="ＭＳ 明朝" w:hAnsi="ＭＳ 明朝" w:eastAsia="ＭＳ 明朝"/>
        <w:sz w:val="28"/>
      </w:rPr>
    </w:sdtEndPr>
    <w:sdtContent>
      <w:p>
        <w:pPr>
          <w:pStyle w:val="19"/>
          <w:jc w:val="center"/>
          <w:rPr>
            <w:rFonts w:hint="default" w:ascii="ＭＳ 明朝" w:hAnsi="ＭＳ 明朝" w:eastAsia="ＭＳ 明朝"/>
            <w:sz w:val="24"/>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eastAsia="ＭＳ 明朝"/>
            <w:sz w:val="28"/>
          </w:rPr>
          <w:t>1</w:t>
        </w:r>
        <w:r>
          <w:rPr>
            <w:rFonts w:hint="eastAsia"/>
          </w:rPr>
          <w:fldChar w:fldCharType="end"/>
        </w:r>
      </w:p>
    </w:sdtContent>
  </w:sdt>
  <w:p>
    <w:pPr>
      <w:pStyle w:val="19"/>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removePersonalInformation/>
  <w:removeDateAndTime/>
  <w:bordersDoNotSurroundHeader/>
  <w:bordersDoNotSurroundFooter/>
  <w:defaultTabStop w:val="840"/>
  <w:drawingGridHorizontalSpacing w:val="193"/>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吹き出し1"/>
    <w:basedOn w:val="0"/>
    <w:next w:val="22"/>
    <w:link w:val="16"/>
    <w:uiPriority w:val="0"/>
    <w:rPr>
      <w:rFonts w:ascii="Arial" w:hAnsi="Arial" w:eastAsia="ＭＳ ゴシック"/>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18"/>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18"/>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Balloon Text"/>
    <w:basedOn w:val="0"/>
    <w:next w:val="22"/>
    <w:link w:val="23"/>
    <w:uiPriority w:val="0"/>
    <w:semiHidden/>
    <w:rPr>
      <w:rFonts w:asciiTheme="majorHAnsi" w:hAnsiTheme="majorHAnsi" w:eastAsiaTheme="majorEastAsia"/>
    </w:rPr>
  </w:style>
  <w:style w:type="character" w:styleId="23" w:customStyle="1">
    <w:name w:val="吹き出し (文字)1"/>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rPr>
      <w:sz w:val="18"/>
    </w:rPr>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269</TotalTime>
  <Pages>11</Pages>
  <Words>6</Words>
  <Characters>9844</Characters>
  <Application>JUST Note</Application>
  <Lines>1415</Lines>
  <Paragraphs>861</Paragraphs>
  <CharactersWithSpaces>9850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2023-07-09T23:53:00Z</dcterms:created>
  <dcterms:modified xsi:type="dcterms:W3CDTF">2026-05-21T02:15:00Z</dcterms:modified>
  <cp:revision>32</cp:revision>
</cp:coreProperties>
</file>