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様式第４号</w:t>
      </w:r>
      <w:bookmarkStart w:id="0" w:name="_GoBack"/>
      <w:bookmarkEnd w:id="0"/>
      <w:r>
        <w:rPr>
          <w:rFonts w:hint="eastAsia"/>
          <w:color w:val="000000"/>
        </w:rPr>
        <w:t>（第７条関係）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収支予算書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＜収入＞　　　　　　　　　　　　　　　　　　　　　　　　　　　　単位：円</w:t>
      </w: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2186"/>
        <w:gridCol w:w="4618"/>
      </w:tblGrid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市補助金額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法人の負担額総計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職員本人の負担額総計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＜支出＞　　　　　　　　　　　　　　　　　　　　　　　　　　　　単位：円</w:t>
      </w:r>
    </w:p>
    <w:tbl>
      <w:tblPr>
        <w:tblStyle w:val="11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157"/>
        <w:gridCol w:w="4599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ind w:left="-113" w:leftChars="-47" w:firstLine="118" w:firstLineChars="49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法人が住宅手当として職員に支払う総計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法人が住宅を借上げする際に支払う総計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（注）収支それぞれの合計は、一致する。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703</TotalTime>
  <Pages>9</Pages>
  <Words>0</Words>
  <Characters>2427</Characters>
  <Application>JUST Note</Application>
  <Lines>1300</Lines>
  <Paragraphs>239</Paragraphs>
  <Company>HP Inc.</Company>
  <CharactersWithSpaces>3100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2023-10-16T08:13:13Z</dcterms:modified>
  <cp:revision>23</cp:revision>
</cp:coreProperties>
</file>