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u w:val="none" w:color="0070C0"/>
        </w:rPr>
        <w:t>参考様式（第９条関係）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安来市住民主体生活支援訪問サービス事業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活動記録</w:t>
      </w:r>
    </w:p>
    <w:p>
      <w:pPr>
        <w:pStyle w:val="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年　　　月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630"/>
        <w:gridCol w:w="1890"/>
        <w:gridCol w:w="1575"/>
        <w:gridCol w:w="1575"/>
        <w:gridCol w:w="1470"/>
        <w:gridCol w:w="3360"/>
        <w:gridCol w:w="2100"/>
      </w:tblGrid>
      <w:tr>
        <w:trPr>
          <w:trHeight w:val="750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日付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提供者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車輌活用の有無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有（車輌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>　　　　　）・無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1946</TotalTime>
  <Pages>7</Pages>
  <Words>58</Words>
  <Characters>1247</Characters>
  <Application>JUST Note</Application>
  <Lines>1642</Lines>
  <Paragraphs>191</Paragraphs>
  <CharactersWithSpaces>1686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2024-02-01T09:06:16Z</dcterms:modified>
  <cp:revision>8</cp:revision>
</cp:coreProperties>
</file>